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20" w:firstLineChars="450"/>
        <w:rPr>
          <w:rFonts w:eastAsia="方正小标宋简体"/>
          <w:sz w:val="44"/>
          <w:szCs w:val="44"/>
        </w:rPr>
      </w:pPr>
      <w:r>
        <w:rPr>
          <w:rFonts w:eastAsia="方正小标宋简体"/>
          <w:sz w:val="36"/>
          <w:szCs w:val="36"/>
        </w:rPr>
        <w:t xml:space="preserve">  </w:t>
      </w:r>
      <w:r>
        <w:rPr>
          <w:rFonts w:hint="eastAsia" w:eastAsia="方正小标宋简体"/>
          <w:sz w:val="36"/>
          <w:szCs w:val="36"/>
        </w:rPr>
        <w:t>企业事业单位环境信息公开表</w:t>
      </w:r>
    </w:p>
    <w:p>
      <w:pPr>
        <w:spacing w:line="560" w:lineRule="exact"/>
        <w:ind w:firstLine="320" w:firstLineChars="100"/>
        <w:jc w:val="left"/>
        <w:rPr>
          <w:rFonts w:eastAsia="黑体"/>
          <w:sz w:val="32"/>
          <w:szCs w:val="32"/>
        </w:rPr>
      </w:pPr>
      <w:r>
        <w:rPr>
          <w:rFonts w:hint="eastAsia" w:eastAsia="黑体"/>
          <w:sz w:val="32"/>
          <w:szCs w:val="32"/>
        </w:rPr>
        <w:t>一、基础信息</w:t>
      </w:r>
    </w:p>
    <w:tbl>
      <w:tblPr>
        <w:tblStyle w:val="13"/>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552"/>
        <w:gridCol w:w="198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9" w:type="dxa"/>
            <w:noWrap w:val="0"/>
            <w:vAlign w:val="top"/>
          </w:tcPr>
          <w:p>
            <w:pPr>
              <w:spacing w:line="620" w:lineRule="exact"/>
              <w:jc w:val="center"/>
              <w:rPr>
                <w:rFonts w:ascii="Times New Roman" w:hAnsi="Times New Roman" w:eastAsia="仿宋_GB2312"/>
                <w:sz w:val="24"/>
                <w:szCs w:val="24"/>
              </w:rPr>
            </w:pPr>
            <w:r>
              <w:rPr>
                <w:rFonts w:hint="eastAsia" w:ascii="Times New Roman" w:hAnsi="Times New Roman" w:eastAsia="仿宋_GB2312"/>
                <w:sz w:val="24"/>
                <w:szCs w:val="24"/>
              </w:rPr>
              <w:t>单位名称</w:t>
            </w:r>
          </w:p>
        </w:tc>
        <w:tc>
          <w:tcPr>
            <w:tcW w:w="7371" w:type="dxa"/>
            <w:gridSpan w:val="3"/>
            <w:noWrap w:val="0"/>
            <w:vAlign w:val="top"/>
          </w:tcPr>
          <w:p>
            <w:pPr>
              <w:spacing w:line="620" w:lineRule="exact"/>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高碑店市白沟京泽压铸厂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9" w:type="dxa"/>
            <w:noWrap w:val="0"/>
            <w:vAlign w:val="top"/>
          </w:tcPr>
          <w:p>
            <w:pPr>
              <w:spacing w:line="620" w:lineRule="exact"/>
              <w:jc w:val="center"/>
              <w:rPr>
                <w:rFonts w:ascii="Times New Roman" w:hAnsi="Times New Roman" w:eastAsia="仿宋_GB2312"/>
                <w:sz w:val="24"/>
                <w:szCs w:val="24"/>
              </w:rPr>
            </w:pPr>
            <w:r>
              <w:rPr>
                <w:rFonts w:hint="eastAsia" w:ascii="Times New Roman" w:hAnsi="Times New Roman" w:eastAsia="仿宋_GB2312"/>
                <w:sz w:val="24"/>
                <w:szCs w:val="24"/>
              </w:rPr>
              <w:t>组织机构代码</w:t>
            </w:r>
          </w:p>
        </w:tc>
        <w:tc>
          <w:tcPr>
            <w:tcW w:w="2552" w:type="dxa"/>
            <w:noWrap w:val="0"/>
            <w:vAlign w:val="top"/>
          </w:tcPr>
          <w:p>
            <w:pPr>
              <w:spacing w:line="620" w:lineRule="exact"/>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91130611774445505k</w:t>
            </w:r>
          </w:p>
        </w:tc>
        <w:tc>
          <w:tcPr>
            <w:tcW w:w="1984" w:type="dxa"/>
            <w:noWrap w:val="0"/>
            <w:vAlign w:val="top"/>
          </w:tcPr>
          <w:p>
            <w:pPr>
              <w:spacing w:line="6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法定代表人</w:t>
            </w:r>
          </w:p>
        </w:tc>
        <w:tc>
          <w:tcPr>
            <w:tcW w:w="2835" w:type="dxa"/>
            <w:noWrap w:val="0"/>
            <w:vAlign w:val="top"/>
          </w:tcPr>
          <w:p>
            <w:pPr>
              <w:spacing w:line="620" w:lineRule="exact"/>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马艳茹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9" w:type="dxa"/>
            <w:noWrap w:val="0"/>
            <w:vAlign w:val="top"/>
          </w:tcPr>
          <w:p>
            <w:pPr>
              <w:spacing w:line="620" w:lineRule="exact"/>
              <w:jc w:val="center"/>
              <w:rPr>
                <w:rFonts w:ascii="Times New Roman" w:hAnsi="Times New Roman" w:eastAsia="仿宋_GB2312"/>
                <w:sz w:val="24"/>
                <w:szCs w:val="24"/>
              </w:rPr>
            </w:pPr>
            <w:r>
              <w:rPr>
                <w:rFonts w:hint="eastAsia" w:ascii="Times New Roman" w:hAnsi="Times New Roman" w:eastAsia="仿宋_GB2312"/>
                <w:sz w:val="24"/>
                <w:szCs w:val="24"/>
              </w:rPr>
              <w:t>生产地址</w:t>
            </w:r>
          </w:p>
        </w:tc>
        <w:tc>
          <w:tcPr>
            <w:tcW w:w="2552" w:type="dxa"/>
            <w:noWrap w:val="0"/>
            <w:vAlign w:val="center"/>
          </w:tcPr>
          <w:p>
            <w:pPr>
              <w:spacing w:line="620" w:lineRule="exact"/>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白沟镇工业园区一期枫杨路9号</w:t>
            </w:r>
          </w:p>
        </w:tc>
        <w:tc>
          <w:tcPr>
            <w:tcW w:w="1984" w:type="dxa"/>
            <w:noWrap w:val="0"/>
            <w:vAlign w:val="top"/>
          </w:tcPr>
          <w:p>
            <w:pPr>
              <w:spacing w:line="6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生产周期</w:t>
            </w:r>
          </w:p>
        </w:tc>
        <w:tc>
          <w:tcPr>
            <w:tcW w:w="2835" w:type="dxa"/>
            <w:noWrap w:val="0"/>
            <w:vAlign w:val="center"/>
          </w:tcPr>
          <w:p>
            <w:pPr>
              <w:spacing w:line="620" w:lineRule="exact"/>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9" w:type="dxa"/>
            <w:noWrap w:val="0"/>
            <w:vAlign w:val="top"/>
          </w:tcPr>
          <w:p>
            <w:pPr>
              <w:spacing w:line="620" w:lineRule="exact"/>
              <w:jc w:val="center"/>
              <w:rPr>
                <w:rFonts w:ascii="Times New Roman" w:hAnsi="Times New Roman" w:eastAsia="仿宋_GB2312"/>
                <w:sz w:val="24"/>
                <w:szCs w:val="24"/>
              </w:rPr>
            </w:pPr>
            <w:r>
              <w:rPr>
                <w:rFonts w:hint="eastAsia" w:ascii="Times New Roman" w:hAnsi="Times New Roman" w:eastAsia="仿宋_GB2312"/>
                <w:sz w:val="24"/>
                <w:szCs w:val="24"/>
              </w:rPr>
              <w:t>所属行业</w:t>
            </w:r>
          </w:p>
        </w:tc>
        <w:tc>
          <w:tcPr>
            <w:tcW w:w="2552" w:type="dxa"/>
            <w:noWrap w:val="0"/>
            <w:vAlign w:val="center"/>
          </w:tcPr>
          <w:p>
            <w:pPr>
              <w:spacing w:line="620" w:lineRule="exact"/>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金属表面处理及热处理加工</w:t>
            </w:r>
          </w:p>
        </w:tc>
        <w:tc>
          <w:tcPr>
            <w:tcW w:w="1984" w:type="dxa"/>
            <w:noWrap w:val="0"/>
            <w:vAlign w:val="top"/>
          </w:tcPr>
          <w:p>
            <w:pPr>
              <w:spacing w:line="6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联系电话</w:t>
            </w:r>
          </w:p>
        </w:tc>
        <w:tc>
          <w:tcPr>
            <w:tcW w:w="2835" w:type="dxa"/>
            <w:noWrap w:val="0"/>
            <w:vAlign w:val="center"/>
          </w:tcPr>
          <w:p>
            <w:pPr>
              <w:spacing w:line="620" w:lineRule="exact"/>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13582995885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7" w:hRule="atLeast"/>
        </w:trPr>
        <w:tc>
          <w:tcPr>
            <w:tcW w:w="2269" w:type="dxa"/>
            <w:noWrap w:val="0"/>
            <w:vAlign w:val="center"/>
          </w:tcPr>
          <w:p>
            <w:pPr>
              <w:spacing w:line="620" w:lineRule="exact"/>
              <w:jc w:val="center"/>
              <w:rPr>
                <w:rFonts w:ascii="Times New Roman" w:hAnsi="Times New Roman" w:eastAsia="仿宋_GB2312"/>
                <w:sz w:val="24"/>
                <w:szCs w:val="24"/>
              </w:rPr>
            </w:pPr>
            <w:r>
              <w:rPr>
                <w:rFonts w:hint="eastAsia" w:ascii="Times New Roman" w:hAnsi="Times New Roman" w:eastAsia="仿宋_GB2312"/>
                <w:sz w:val="24"/>
                <w:szCs w:val="24"/>
              </w:rPr>
              <w:t>生产经营和管理服务的主要内容</w:t>
            </w:r>
          </w:p>
        </w:tc>
        <w:tc>
          <w:tcPr>
            <w:tcW w:w="7371" w:type="dxa"/>
            <w:gridSpan w:val="3"/>
            <w:noWrap w:val="0"/>
            <w:vAlign w:val="top"/>
          </w:tcPr>
          <w:p>
            <w:pPr>
              <w:spacing w:line="620" w:lineRule="exact"/>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五金饰件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21" w:type="dxa"/>
            <w:gridSpan w:val="2"/>
            <w:noWrap w:val="0"/>
            <w:vAlign w:val="top"/>
          </w:tcPr>
          <w:p>
            <w:pPr>
              <w:spacing w:line="620" w:lineRule="exact"/>
              <w:jc w:val="center"/>
              <w:rPr>
                <w:rFonts w:ascii="Times New Roman" w:hAnsi="Times New Roman" w:eastAsia="仿宋_GB2312"/>
                <w:sz w:val="24"/>
                <w:szCs w:val="24"/>
              </w:rPr>
            </w:pPr>
            <w:r>
              <w:rPr>
                <w:rFonts w:hint="eastAsia" w:ascii="Times New Roman" w:hAnsi="Times New Roman" w:eastAsia="仿宋_GB2312"/>
                <w:sz w:val="24"/>
                <w:szCs w:val="24"/>
              </w:rPr>
              <w:t>主要产品</w:t>
            </w:r>
          </w:p>
        </w:tc>
        <w:tc>
          <w:tcPr>
            <w:tcW w:w="4819" w:type="dxa"/>
            <w:gridSpan w:val="2"/>
            <w:noWrap w:val="0"/>
            <w:vAlign w:val="top"/>
          </w:tcPr>
          <w:p>
            <w:pPr>
              <w:spacing w:line="620" w:lineRule="exact"/>
              <w:jc w:val="center"/>
              <w:rPr>
                <w:rFonts w:ascii="Times New Roman" w:hAnsi="Times New Roman" w:eastAsia="仿宋_GB2312"/>
                <w:sz w:val="24"/>
                <w:szCs w:val="24"/>
              </w:rPr>
            </w:pPr>
            <w:r>
              <w:rPr>
                <w:rFonts w:hint="eastAsia" w:ascii="Times New Roman" w:hAnsi="Times New Roman" w:eastAsia="仿宋_GB2312"/>
                <w:sz w:val="24"/>
                <w:szCs w:val="24"/>
              </w:rPr>
              <w:t>生产规模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21" w:type="dxa"/>
            <w:gridSpan w:val="2"/>
            <w:noWrap w:val="0"/>
            <w:vAlign w:val="center"/>
          </w:tcPr>
          <w:p>
            <w:pPr>
              <w:widowControl/>
              <w:spacing w:before="100" w:beforeAutospacing="1" w:after="100" w:afterAutospacing="1"/>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五金饰件</w:t>
            </w:r>
          </w:p>
        </w:tc>
        <w:tc>
          <w:tcPr>
            <w:tcW w:w="4819" w:type="dxa"/>
            <w:gridSpan w:val="2"/>
            <w:noWrap w:val="0"/>
            <w:vAlign w:val="center"/>
          </w:tcPr>
          <w:p>
            <w:pPr>
              <w:widowControl/>
              <w:spacing w:before="100" w:beforeAutospacing="1" w:after="100" w:afterAutospacing="1"/>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800t/n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21" w:type="dxa"/>
            <w:gridSpan w:val="2"/>
            <w:noWrap w:val="0"/>
            <w:vAlign w:val="center"/>
          </w:tcPr>
          <w:p>
            <w:pPr>
              <w:widowControl/>
              <w:spacing w:before="100" w:beforeAutospacing="1" w:after="100" w:afterAutospacing="1"/>
              <w:jc w:val="center"/>
              <w:rPr>
                <w:rFonts w:ascii="Times New Roman" w:hAnsi="Times New Roman" w:eastAsia="仿宋_GB2312"/>
                <w:sz w:val="24"/>
                <w:szCs w:val="24"/>
              </w:rPr>
            </w:pPr>
          </w:p>
        </w:tc>
        <w:tc>
          <w:tcPr>
            <w:tcW w:w="4819" w:type="dxa"/>
            <w:gridSpan w:val="2"/>
            <w:noWrap w:val="0"/>
            <w:vAlign w:val="center"/>
          </w:tcPr>
          <w:p>
            <w:pPr>
              <w:widowControl/>
              <w:spacing w:before="100" w:beforeAutospacing="1" w:after="100" w:afterAutospacing="1"/>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21" w:type="dxa"/>
            <w:gridSpan w:val="2"/>
            <w:noWrap w:val="0"/>
            <w:vAlign w:val="top"/>
          </w:tcPr>
          <w:p>
            <w:pPr>
              <w:spacing w:line="620" w:lineRule="exact"/>
              <w:jc w:val="center"/>
              <w:rPr>
                <w:rFonts w:ascii="Times New Roman" w:hAnsi="Times New Roman" w:eastAsia="仿宋_GB2312"/>
                <w:sz w:val="24"/>
                <w:szCs w:val="24"/>
              </w:rPr>
            </w:pPr>
          </w:p>
        </w:tc>
        <w:tc>
          <w:tcPr>
            <w:tcW w:w="4819" w:type="dxa"/>
            <w:gridSpan w:val="2"/>
            <w:noWrap w:val="0"/>
            <w:vAlign w:val="top"/>
          </w:tcPr>
          <w:p>
            <w:pPr>
              <w:spacing w:line="62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21" w:type="dxa"/>
            <w:gridSpan w:val="2"/>
            <w:noWrap w:val="0"/>
            <w:vAlign w:val="top"/>
          </w:tcPr>
          <w:p>
            <w:pPr>
              <w:spacing w:line="620" w:lineRule="exact"/>
              <w:jc w:val="center"/>
              <w:rPr>
                <w:rFonts w:ascii="Times New Roman" w:hAnsi="Times New Roman" w:eastAsia="仿宋_GB2312"/>
                <w:sz w:val="24"/>
                <w:szCs w:val="24"/>
              </w:rPr>
            </w:pPr>
          </w:p>
        </w:tc>
        <w:tc>
          <w:tcPr>
            <w:tcW w:w="4819" w:type="dxa"/>
            <w:gridSpan w:val="2"/>
            <w:noWrap w:val="0"/>
            <w:vAlign w:val="top"/>
          </w:tcPr>
          <w:p>
            <w:pPr>
              <w:spacing w:line="62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21" w:type="dxa"/>
            <w:gridSpan w:val="2"/>
            <w:noWrap w:val="0"/>
            <w:vAlign w:val="top"/>
          </w:tcPr>
          <w:p>
            <w:pPr>
              <w:spacing w:line="620" w:lineRule="exact"/>
              <w:jc w:val="center"/>
              <w:rPr>
                <w:rFonts w:ascii="Times New Roman" w:hAnsi="Times New Roman" w:eastAsia="仿宋_GB2312"/>
                <w:sz w:val="24"/>
                <w:szCs w:val="24"/>
              </w:rPr>
            </w:pPr>
            <w:r>
              <w:rPr>
                <w:rFonts w:ascii="Times New Roman" w:hAnsi="Times New Roman" w:eastAsia="仿宋_GB2312"/>
                <w:sz w:val="24"/>
                <w:szCs w:val="24"/>
              </w:rPr>
              <w:t>……</w:t>
            </w:r>
          </w:p>
        </w:tc>
        <w:tc>
          <w:tcPr>
            <w:tcW w:w="4819" w:type="dxa"/>
            <w:gridSpan w:val="2"/>
            <w:noWrap w:val="0"/>
            <w:vAlign w:val="top"/>
          </w:tcPr>
          <w:p>
            <w:pPr>
              <w:spacing w:line="620" w:lineRule="exact"/>
              <w:jc w:val="center"/>
              <w:rPr>
                <w:rFonts w:ascii="Times New Roman" w:hAnsi="Times New Roman" w:eastAsia="仿宋_GB2312"/>
                <w:sz w:val="24"/>
                <w:szCs w:val="24"/>
              </w:rPr>
            </w:pPr>
          </w:p>
        </w:tc>
      </w:tr>
    </w:tbl>
    <w:p>
      <w:pPr>
        <w:widowControl/>
        <w:jc w:val="left"/>
        <w:rPr>
          <w:rFonts w:eastAsia="黑体"/>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588" w:bottom="1985" w:left="1588" w:header="851" w:footer="992" w:gutter="0"/>
          <w:cols w:space="720" w:num="1"/>
          <w:docGrid w:type="lines" w:linePitch="312" w:charSpace="0"/>
        </w:sectPr>
      </w:pPr>
    </w:p>
    <w:p>
      <w:pPr>
        <w:spacing w:line="560" w:lineRule="exact"/>
        <w:ind w:firstLine="320" w:firstLineChars="100"/>
        <w:jc w:val="left"/>
        <w:rPr>
          <w:rFonts w:eastAsia="黑体"/>
          <w:sz w:val="32"/>
          <w:szCs w:val="32"/>
        </w:rPr>
      </w:pPr>
      <w:r>
        <w:rPr>
          <w:rFonts w:hint="eastAsia" w:eastAsia="黑体"/>
          <w:sz w:val="32"/>
          <w:szCs w:val="32"/>
        </w:rPr>
        <w:t>二、排污信息</w:t>
      </w:r>
    </w:p>
    <w:tbl>
      <w:tblPr>
        <w:tblStyle w:val="13"/>
        <w:tblW w:w="13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11"/>
        <w:gridCol w:w="721"/>
        <w:gridCol w:w="345"/>
        <w:gridCol w:w="21"/>
        <w:gridCol w:w="801"/>
        <w:gridCol w:w="28"/>
        <w:gridCol w:w="684"/>
        <w:gridCol w:w="49"/>
        <w:gridCol w:w="528"/>
        <w:gridCol w:w="39"/>
        <w:gridCol w:w="899"/>
        <w:gridCol w:w="45"/>
        <w:gridCol w:w="373"/>
        <w:gridCol w:w="37"/>
        <w:gridCol w:w="324"/>
        <w:gridCol w:w="50"/>
        <w:gridCol w:w="654"/>
        <w:gridCol w:w="152"/>
        <w:gridCol w:w="786"/>
        <w:gridCol w:w="61"/>
        <w:gridCol w:w="238"/>
        <w:gridCol w:w="6"/>
        <w:gridCol w:w="750"/>
        <w:gridCol w:w="68"/>
        <w:gridCol w:w="889"/>
        <w:gridCol w:w="1047"/>
        <w:gridCol w:w="34"/>
        <w:gridCol w:w="615"/>
        <w:gridCol w:w="103"/>
        <w:gridCol w:w="28"/>
        <w:gridCol w:w="744"/>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309" w:type="dxa"/>
            <w:gridSpan w:val="33"/>
            <w:noWrap w:val="0"/>
            <w:vAlign w:val="top"/>
          </w:tcPr>
          <w:p>
            <w:pPr>
              <w:spacing w:line="500" w:lineRule="exact"/>
              <w:jc w:val="center"/>
              <w:rPr>
                <w:rFonts w:eastAsia="仿宋_GB2312"/>
                <w:b/>
                <w:sz w:val="28"/>
                <w:szCs w:val="28"/>
              </w:rPr>
            </w:pPr>
            <w:r>
              <w:rPr>
                <w:rFonts w:hint="eastAsia" w:eastAsia="仿宋_GB2312"/>
                <w:b/>
                <w:sz w:val="28"/>
                <w:szCs w:val="28"/>
              </w:rPr>
              <w:t>水污染物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09" w:type="dxa"/>
            <w:gridSpan w:val="17"/>
            <w:noWrap w:val="0"/>
            <w:vAlign w:val="center"/>
          </w:tcPr>
          <w:p>
            <w:pPr>
              <w:spacing w:line="500" w:lineRule="exact"/>
              <w:jc w:val="center"/>
              <w:rPr>
                <w:rFonts w:eastAsia="仿宋_GB2312"/>
                <w:sz w:val="24"/>
              </w:rPr>
            </w:pPr>
            <w:r>
              <w:rPr>
                <w:rFonts w:hint="eastAsia" w:eastAsia="仿宋_GB2312"/>
                <w:sz w:val="24"/>
              </w:rPr>
              <w:t>排放口数量</w:t>
            </w:r>
          </w:p>
        </w:tc>
        <w:tc>
          <w:tcPr>
            <w:tcW w:w="7300" w:type="dxa"/>
            <w:gridSpan w:val="16"/>
            <w:noWrap w:val="0"/>
            <w:vAlign w:val="top"/>
          </w:tcPr>
          <w:p>
            <w:pPr>
              <w:spacing w:line="500" w:lineRule="exact"/>
              <w:jc w:val="center"/>
              <w:rPr>
                <w:rFonts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65" w:type="dxa"/>
            <w:gridSpan w:val="2"/>
            <w:noWrap w:val="0"/>
            <w:vAlign w:val="center"/>
          </w:tcPr>
          <w:p>
            <w:pPr>
              <w:spacing w:line="500" w:lineRule="exact"/>
              <w:ind w:left="-105" w:leftChars="-50" w:right="-105" w:rightChars="-50"/>
              <w:jc w:val="center"/>
              <w:rPr>
                <w:rFonts w:eastAsia="仿宋_GB2312"/>
                <w:color w:val="000000"/>
                <w:sz w:val="24"/>
              </w:rPr>
            </w:pPr>
            <w:r>
              <w:rPr>
                <w:rFonts w:hint="eastAsia" w:eastAsia="仿宋_GB2312"/>
                <w:color w:val="000000"/>
                <w:sz w:val="24"/>
              </w:rPr>
              <w:t>排放口编号或名称</w:t>
            </w:r>
          </w:p>
        </w:tc>
        <w:tc>
          <w:tcPr>
            <w:tcW w:w="1087" w:type="dxa"/>
            <w:gridSpan w:val="3"/>
            <w:noWrap w:val="0"/>
            <w:vAlign w:val="center"/>
          </w:tcPr>
          <w:p>
            <w:pPr>
              <w:spacing w:line="500" w:lineRule="exact"/>
              <w:ind w:left="-105" w:leftChars="-50" w:right="-105" w:rightChars="-50"/>
              <w:jc w:val="center"/>
              <w:rPr>
                <w:rFonts w:eastAsia="仿宋_GB2312"/>
                <w:color w:val="000000"/>
                <w:sz w:val="24"/>
              </w:rPr>
            </w:pPr>
            <w:r>
              <w:rPr>
                <w:rFonts w:hint="eastAsia" w:eastAsia="仿宋_GB2312"/>
                <w:color w:val="000000"/>
                <w:sz w:val="24"/>
              </w:rPr>
              <w:t>排放口位置</w:t>
            </w:r>
          </w:p>
        </w:tc>
        <w:tc>
          <w:tcPr>
            <w:tcW w:w="829" w:type="dxa"/>
            <w:gridSpan w:val="2"/>
            <w:noWrap w:val="0"/>
            <w:vAlign w:val="center"/>
          </w:tcPr>
          <w:p>
            <w:pPr>
              <w:spacing w:line="500" w:lineRule="exact"/>
              <w:ind w:left="-105" w:leftChars="-50" w:right="-105" w:rightChars="-50"/>
              <w:jc w:val="center"/>
              <w:rPr>
                <w:rFonts w:eastAsia="仿宋_GB2312"/>
                <w:color w:val="000000"/>
                <w:sz w:val="24"/>
              </w:rPr>
            </w:pPr>
            <w:r>
              <w:rPr>
                <w:rFonts w:hint="eastAsia" w:eastAsia="仿宋_GB2312"/>
                <w:color w:val="000000"/>
                <w:sz w:val="24"/>
              </w:rPr>
              <w:t>排放方式</w:t>
            </w:r>
          </w:p>
        </w:tc>
        <w:tc>
          <w:tcPr>
            <w:tcW w:w="1300" w:type="dxa"/>
            <w:gridSpan w:val="4"/>
            <w:noWrap w:val="0"/>
            <w:vAlign w:val="center"/>
          </w:tcPr>
          <w:p>
            <w:pPr>
              <w:spacing w:line="500" w:lineRule="exact"/>
              <w:ind w:left="-105" w:leftChars="-50" w:right="-105" w:rightChars="-50"/>
              <w:jc w:val="center"/>
              <w:rPr>
                <w:rFonts w:eastAsia="仿宋_GB2312"/>
                <w:color w:val="000000"/>
                <w:sz w:val="24"/>
              </w:rPr>
            </w:pPr>
            <w:r>
              <w:rPr>
                <w:rFonts w:hint="eastAsia" w:eastAsia="仿宋_GB2312"/>
                <w:color w:val="000000"/>
                <w:sz w:val="24"/>
              </w:rPr>
              <w:t>主要</w:t>
            </w:r>
            <w:r>
              <w:rPr>
                <w:rFonts w:eastAsia="仿宋_GB2312"/>
                <w:color w:val="000000"/>
                <w:sz w:val="24"/>
              </w:rPr>
              <w:t>/</w:t>
            </w:r>
            <w:r>
              <w:rPr>
                <w:rFonts w:hint="eastAsia" w:eastAsia="仿宋_GB2312"/>
                <w:color w:val="000000"/>
                <w:sz w:val="24"/>
              </w:rPr>
              <w:t>特征污染物名称</w:t>
            </w:r>
          </w:p>
        </w:tc>
        <w:tc>
          <w:tcPr>
            <w:tcW w:w="944" w:type="dxa"/>
            <w:gridSpan w:val="2"/>
            <w:noWrap w:val="0"/>
            <w:vAlign w:val="center"/>
          </w:tcPr>
          <w:p>
            <w:pPr>
              <w:spacing w:line="500" w:lineRule="exact"/>
              <w:ind w:left="-105" w:leftChars="-50" w:right="-105" w:rightChars="-50"/>
              <w:jc w:val="center"/>
              <w:rPr>
                <w:rFonts w:eastAsia="仿宋_GB2312"/>
                <w:color w:val="000000"/>
                <w:sz w:val="24"/>
              </w:rPr>
            </w:pPr>
            <w:r>
              <w:rPr>
                <w:rFonts w:hint="eastAsia" w:eastAsia="仿宋_GB2312"/>
                <w:color w:val="000000"/>
                <w:sz w:val="24"/>
              </w:rPr>
              <w:t>排放浓度（</w:t>
            </w:r>
            <w:r>
              <w:rPr>
                <w:rFonts w:eastAsia="仿宋_GB2312"/>
                <w:color w:val="000000"/>
                <w:sz w:val="24"/>
              </w:rPr>
              <w:t xml:space="preserve">mg/L </w:t>
            </w:r>
            <w:r>
              <w:rPr>
                <w:rFonts w:hint="eastAsia" w:eastAsia="仿宋_GB2312"/>
                <w:color w:val="000000"/>
                <w:sz w:val="24"/>
              </w:rPr>
              <w:t>）</w:t>
            </w:r>
          </w:p>
        </w:tc>
        <w:tc>
          <w:tcPr>
            <w:tcW w:w="784" w:type="dxa"/>
            <w:gridSpan w:val="4"/>
            <w:noWrap w:val="0"/>
            <w:vAlign w:val="center"/>
          </w:tcPr>
          <w:p>
            <w:pPr>
              <w:spacing w:line="500" w:lineRule="exact"/>
              <w:ind w:left="-105" w:leftChars="-50" w:right="-105" w:rightChars="-50"/>
              <w:jc w:val="center"/>
              <w:rPr>
                <w:rFonts w:eastAsia="仿宋_GB2312"/>
                <w:color w:val="000000"/>
                <w:sz w:val="24"/>
              </w:rPr>
            </w:pPr>
            <w:r>
              <w:rPr>
                <w:rFonts w:hint="eastAsia" w:eastAsia="仿宋_GB2312"/>
                <w:color w:val="000000"/>
                <w:sz w:val="24"/>
              </w:rPr>
              <w:t>监测</w:t>
            </w:r>
          </w:p>
          <w:p>
            <w:pPr>
              <w:spacing w:line="500" w:lineRule="exact"/>
              <w:ind w:left="-105" w:leftChars="-50" w:right="-105" w:rightChars="-50"/>
              <w:jc w:val="center"/>
              <w:rPr>
                <w:rFonts w:eastAsia="仿宋_GB2312"/>
                <w:color w:val="000000"/>
                <w:sz w:val="24"/>
              </w:rPr>
            </w:pPr>
            <w:r>
              <w:rPr>
                <w:rFonts w:hint="eastAsia" w:eastAsia="仿宋_GB2312"/>
                <w:color w:val="000000"/>
                <w:sz w:val="24"/>
              </w:rPr>
              <w:t>方式</w:t>
            </w:r>
          </w:p>
        </w:tc>
        <w:tc>
          <w:tcPr>
            <w:tcW w:w="654" w:type="dxa"/>
            <w:noWrap w:val="0"/>
            <w:vAlign w:val="center"/>
          </w:tcPr>
          <w:p>
            <w:pPr>
              <w:spacing w:line="500" w:lineRule="exact"/>
              <w:ind w:left="-105" w:leftChars="-50" w:right="-105" w:rightChars="-50"/>
              <w:jc w:val="center"/>
              <w:rPr>
                <w:rFonts w:eastAsia="仿宋_GB2312"/>
                <w:color w:val="000000"/>
                <w:sz w:val="24"/>
              </w:rPr>
            </w:pPr>
            <w:r>
              <w:rPr>
                <w:rFonts w:hint="eastAsia" w:eastAsia="仿宋_GB2312"/>
                <w:color w:val="000000"/>
                <w:sz w:val="24"/>
              </w:rPr>
              <w:t>监测</w:t>
            </w:r>
          </w:p>
          <w:p>
            <w:pPr>
              <w:spacing w:line="500" w:lineRule="exact"/>
              <w:ind w:left="-105" w:leftChars="-50" w:right="-105" w:rightChars="-50"/>
              <w:jc w:val="center"/>
              <w:rPr>
                <w:rFonts w:eastAsia="仿宋_GB2312"/>
                <w:color w:val="000000"/>
                <w:sz w:val="24"/>
              </w:rPr>
            </w:pPr>
            <w:r>
              <w:rPr>
                <w:rFonts w:hint="eastAsia" w:eastAsia="仿宋_GB2312"/>
                <w:color w:val="000000"/>
                <w:sz w:val="24"/>
              </w:rPr>
              <w:t>时间</w:t>
            </w:r>
          </w:p>
        </w:tc>
        <w:tc>
          <w:tcPr>
            <w:tcW w:w="999" w:type="dxa"/>
            <w:gridSpan w:val="3"/>
            <w:noWrap w:val="0"/>
            <w:vAlign w:val="center"/>
          </w:tcPr>
          <w:p>
            <w:pPr>
              <w:spacing w:line="500" w:lineRule="exact"/>
              <w:ind w:left="-105" w:leftChars="-50" w:right="-105" w:rightChars="-50"/>
              <w:jc w:val="center"/>
              <w:rPr>
                <w:rFonts w:eastAsia="仿宋_GB2312"/>
                <w:color w:val="000000"/>
                <w:sz w:val="24"/>
              </w:rPr>
            </w:pPr>
            <w:r>
              <w:rPr>
                <w:rFonts w:hint="eastAsia" w:eastAsia="仿宋_GB2312"/>
                <w:color w:val="000000"/>
                <w:sz w:val="24"/>
              </w:rPr>
              <w:t>排放总量</w:t>
            </w:r>
          </w:p>
          <w:p>
            <w:pPr>
              <w:spacing w:line="500" w:lineRule="exact"/>
              <w:ind w:left="-105" w:leftChars="-50" w:right="-105" w:rightChars="-50"/>
              <w:jc w:val="center"/>
              <w:rPr>
                <w:rFonts w:eastAsia="仿宋_GB2312"/>
                <w:color w:val="000000"/>
                <w:sz w:val="24"/>
              </w:rPr>
            </w:pPr>
            <w:r>
              <w:rPr>
                <w:rFonts w:eastAsia="仿宋_GB2312"/>
                <w:color w:val="000000"/>
                <w:sz w:val="24"/>
              </w:rPr>
              <w:t>(kg)</w:t>
            </w:r>
          </w:p>
        </w:tc>
        <w:tc>
          <w:tcPr>
            <w:tcW w:w="1062" w:type="dxa"/>
            <w:gridSpan w:val="4"/>
            <w:noWrap w:val="0"/>
            <w:vAlign w:val="center"/>
          </w:tcPr>
          <w:p>
            <w:pPr>
              <w:spacing w:line="500" w:lineRule="exact"/>
              <w:ind w:left="-105" w:leftChars="-50" w:right="-105" w:rightChars="-50"/>
              <w:jc w:val="center"/>
              <w:rPr>
                <w:rFonts w:eastAsia="仿宋_GB2312"/>
                <w:color w:val="000000"/>
                <w:sz w:val="24"/>
              </w:rPr>
            </w:pPr>
            <w:r>
              <w:rPr>
                <w:rFonts w:hint="eastAsia" w:eastAsia="仿宋_GB2312"/>
                <w:color w:val="000000"/>
                <w:sz w:val="24"/>
              </w:rPr>
              <w:t>核定的排放总量（</w:t>
            </w:r>
            <w:r>
              <w:rPr>
                <w:rFonts w:eastAsia="仿宋_GB2312"/>
                <w:color w:val="000000"/>
                <w:sz w:val="24"/>
              </w:rPr>
              <w:t>kg</w:t>
            </w:r>
            <w:r>
              <w:rPr>
                <w:rFonts w:hint="eastAsia" w:eastAsia="仿宋_GB2312"/>
                <w:color w:val="000000"/>
                <w:sz w:val="24"/>
              </w:rPr>
              <w:t>）</w:t>
            </w:r>
          </w:p>
        </w:tc>
        <w:tc>
          <w:tcPr>
            <w:tcW w:w="1936" w:type="dxa"/>
            <w:gridSpan w:val="2"/>
            <w:noWrap w:val="0"/>
            <w:vAlign w:val="center"/>
          </w:tcPr>
          <w:p>
            <w:pPr>
              <w:spacing w:line="500" w:lineRule="exact"/>
              <w:ind w:left="-105" w:leftChars="-50" w:right="-105" w:rightChars="-50"/>
              <w:jc w:val="center"/>
              <w:rPr>
                <w:rFonts w:eastAsia="仿宋_GB2312"/>
                <w:color w:val="000000"/>
                <w:sz w:val="24"/>
              </w:rPr>
            </w:pPr>
            <w:r>
              <w:rPr>
                <w:rFonts w:hint="eastAsia" w:eastAsia="仿宋_GB2312"/>
                <w:color w:val="000000"/>
                <w:sz w:val="24"/>
              </w:rPr>
              <w:t>执行的污染物排放标准及浓度限值（</w:t>
            </w:r>
            <w:r>
              <w:rPr>
                <w:rFonts w:eastAsia="仿宋_GB2312"/>
                <w:color w:val="000000"/>
                <w:sz w:val="24"/>
              </w:rPr>
              <w:t>mg/L</w:t>
            </w:r>
            <w:r>
              <w:rPr>
                <w:rFonts w:hint="eastAsia" w:eastAsia="仿宋_GB2312"/>
                <w:color w:val="000000"/>
                <w:sz w:val="24"/>
              </w:rPr>
              <w:t>）</w:t>
            </w:r>
          </w:p>
        </w:tc>
        <w:tc>
          <w:tcPr>
            <w:tcW w:w="752" w:type="dxa"/>
            <w:gridSpan w:val="3"/>
            <w:noWrap w:val="0"/>
            <w:vAlign w:val="center"/>
          </w:tcPr>
          <w:p>
            <w:pPr>
              <w:spacing w:line="500" w:lineRule="exact"/>
              <w:ind w:left="-105" w:leftChars="-50" w:right="-105" w:rightChars="-50"/>
              <w:jc w:val="center"/>
              <w:rPr>
                <w:rFonts w:eastAsia="仿宋_GB2312"/>
                <w:color w:val="000000"/>
                <w:sz w:val="24"/>
              </w:rPr>
            </w:pPr>
            <w:r>
              <w:rPr>
                <w:rFonts w:hint="eastAsia" w:eastAsia="仿宋_GB2312"/>
                <w:color w:val="000000"/>
                <w:sz w:val="24"/>
              </w:rPr>
              <w:t>是否</w:t>
            </w:r>
          </w:p>
          <w:p>
            <w:pPr>
              <w:spacing w:line="500" w:lineRule="exact"/>
              <w:ind w:left="-105" w:leftChars="-50" w:right="-105" w:rightChars="-50"/>
              <w:jc w:val="center"/>
              <w:rPr>
                <w:rFonts w:eastAsia="仿宋_GB2312"/>
                <w:color w:val="000000"/>
                <w:sz w:val="24"/>
              </w:rPr>
            </w:pPr>
            <w:r>
              <w:rPr>
                <w:rFonts w:hint="eastAsia" w:eastAsia="仿宋_GB2312"/>
                <w:color w:val="000000"/>
                <w:sz w:val="24"/>
              </w:rPr>
              <w:t>超标</w:t>
            </w:r>
          </w:p>
        </w:tc>
        <w:tc>
          <w:tcPr>
            <w:tcW w:w="772" w:type="dxa"/>
            <w:gridSpan w:val="2"/>
            <w:noWrap w:val="0"/>
            <w:vAlign w:val="center"/>
          </w:tcPr>
          <w:p>
            <w:pPr>
              <w:spacing w:line="500" w:lineRule="exact"/>
              <w:ind w:left="-105" w:leftChars="-50" w:right="-105" w:rightChars="-50"/>
              <w:jc w:val="center"/>
              <w:rPr>
                <w:rFonts w:eastAsia="仿宋_GB2312"/>
                <w:color w:val="000000"/>
                <w:sz w:val="24"/>
              </w:rPr>
            </w:pPr>
            <w:r>
              <w:rPr>
                <w:rFonts w:hint="eastAsia" w:eastAsia="仿宋_GB2312"/>
                <w:color w:val="000000"/>
                <w:sz w:val="24"/>
              </w:rPr>
              <w:t>是否需要缴纳排污费（税）</w:t>
            </w:r>
          </w:p>
        </w:tc>
        <w:tc>
          <w:tcPr>
            <w:tcW w:w="1125" w:type="dxa"/>
            <w:noWrap w:val="0"/>
            <w:vAlign w:val="center"/>
          </w:tcPr>
          <w:p>
            <w:pPr>
              <w:spacing w:line="500" w:lineRule="exact"/>
              <w:ind w:left="-105" w:leftChars="-50" w:right="-105" w:rightChars="-50"/>
              <w:jc w:val="center"/>
              <w:rPr>
                <w:rFonts w:eastAsia="仿宋_GB2312"/>
                <w:color w:val="000000"/>
                <w:sz w:val="24"/>
              </w:rPr>
            </w:pPr>
            <w:r>
              <w:rPr>
                <w:rFonts w:hint="eastAsia" w:eastAsia="仿宋_GB2312"/>
                <w:color w:val="000000"/>
                <w:sz w:val="24"/>
              </w:rPr>
              <w:t>缴纳情况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065" w:type="dxa"/>
            <w:gridSpan w:val="2"/>
            <w:vMerge w:val="restart"/>
            <w:noWrap w:val="0"/>
            <w:vAlign w:val="center"/>
          </w:tcPr>
          <w:p>
            <w:pPr>
              <w:spacing w:line="500" w:lineRule="exact"/>
              <w:ind w:left="-105" w:leftChars="-50" w:right="-105" w:rightChars="-50"/>
              <w:jc w:val="center"/>
              <w:rPr>
                <w:rFonts w:hint="eastAsia" w:eastAsia="仿宋_GB2312"/>
                <w:color w:val="000000"/>
                <w:sz w:val="24"/>
              </w:rPr>
            </w:pPr>
            <w:r>
              <w:rPr>
                <w:rFonts w:hint="eastAsia" w:eastAsia="仿宋_GB2312"/>
                <w:color w:val="000000"/>
                <w:sz w:val="24"/>
              </w:rPr>
              <w:t>排放口1</w:t>
            </w:r>
          </w:p>
        </w:tc>
        <w:tc>
          <w:tcPr>
            <w:tcW w:w="1087" w:type="dxa"/>
            <w:gridSpan w:val="3"/>
            <w:vMerge w:val="restart"/>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经度116°1′56.71″，纬度39°</w:t>
            </w:r>
          </w:p>
        </w:tc>
        <w:tc>
          <w:tcPr>
            <w:tcW w:w="829" w:type="dxa"/>
            <w:gridSpan w:val="2"/>
            <w:vMerge w:val="restart"/>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纳管</w:t>
            </w:r>
          </w:p>
        </w:tc>
        <w:tc>
          <w:tcPr>
            <w:tcW w:w="1300" w:type="dxa"/>
            <w:gridSpan w:val="4"/>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PH</w:t>
            </w:r>
          </w:p>
        </w:tc>
        <w:tc>
          <w:tcPr>
            <w:tcW w:w="944" w:type="dxa"/>
            <w:gridSpan w:val="2"/>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6.87</w:t>
            </w:r>
          </w:p>
        </w:tc>
        <w:tc>
          <w:tcPr>
            <w:tcW w:w="784" w:type="dxa"/>
            <w:gridSpan w:val="4"/>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自动</w:t>
            </w:r>
          </w:p>
        </w:tc>
        <w:tc>
          <w:tcPr>
            <w:tcW w:w="654" w:type="dxa"/>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2021/3/26</w:t>
            </w:r>
          </w:p>
        </w:tc>
        <w:tc>
          <w:tcPr>
            <w:tcW w:w="999" w:type="dxa"/>
            <w:gridSpan w:val="3"/>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w:t>
            </w:r>
          </w:p>
        </w:tc>
        <w:tc>
          <w:tcPr>
            <w:tcW w:w="1062" w:type="dxa"/>
            <w:gridSpan w:val="4"/>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w:t>
            </w:r>
          </w:p>
        </w:tc>
        <w:tc>
          <w:tcPr>
            <w:tcW w:w="1936" w:type="dxa"/>
            <w:gridSpan w:val="2"/>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6-9</w:t>
            </w:r>
          </w:p>
        </w:tc>
        <w:tc>
          <w:tcPr>
            <w:tcW w:w="752" w:type="dxa"/>
            <w:gridSpan w:val="3"/>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否</w:t>
            </w:r>
          </w:p>
        </w:tc>
        <w:tc>
          <w:tcPr>
            <w:tcW w:w="772" w:type="dxa"/>
            <w:gridSpan w:val="2"/>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 xml:space="preserve">  否</w:t>
            </w:r>
          </w:p>
        </w:tc>
        <w:tc>
          <w:tcPr>
            <w:tcW w:w="1125" w:type="dxa"/>
            <w:noWrap w:val="0"/>
            <w:vAlign w:val="center"/>
          </w:tcPr>
          <w:p>
            <w:pPr>
              <w:spacing w:line="500" w:lineRule="exact"/>
              <w:ind w:left="-105" w:leftChars="-50" w:right="-105" w:rightChars="-50"/>
              <w:jc w:val="center"/>
              <w:rPr>
                <w:rFonts w:hint="eastAsia"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065" w:type="dxa"/>
            <w:gridSpan w:val="2"/>
            <w:vMerge w:val="continue"/>
            <w:noWrap w:val="0"/>
            <w:vAlign w:val="center"/>
          </w:tcPr>
          <w:p>
            <w:pPr>
              <w:spacing w:line="500" w:lineRule="exact"/>
              <w:ind w:left="-105" w:leftChars="-50" w:right="-105" w:rightChars="-50"/>
              <w:jc w:val="center"/>
              <w:rPr>
                <w:rFonts w:hint="eastAsia" w:eastAsia="仿宋_GB2312"/>
                <w:color w:val="000000"/>
                <w:sz w:val="24"/>
              </w:rPr>
            </w:pPr>
          </w:p>
        </w:tc>
        <w:tc>
          <w:tcPr>
            <w:tcW w:w="1087" w:type="dxa"/>
            <w:gridSpan w:val="3"/>
            <w:vMerge w:val="continue"/>
            <w:noWrap w:val="0"/>
            <w:vAlign w:val="center"/>
          </w:tcPr>
          <w:p>
            <w:pPr>
              <w:spacing w:line="500" w:lineRule="exact"/>
              <w:ind w:left="-105" w:leftChars="-50" w:right="-105" w:rightChars="-50"/>
              <w:jc w:val="center"/>
              <w:rPr>
                <w:rFonts w:hint="eastAsia" w:eastAsia="仿宋_GB2312"/>
                <w:color w:val="000000"/>
                <w:sz w:val="24"/>
              </w:rPr>
            </w:pPr>
          </w:p>
        </w:tc>
        <w:tc>
          <w:tcPr>
            <w:tcW w:w="829" w:type="dxa"/>
            <w:gridSpan w:val="2"/>
            <w:vMerge w:val="continue"/>
            <w:noWrap w:val="0"/>
            <w:vAlign w:val="center"/>
          </w:tcPr>
          <w:p>
            <w:pPr>
              <w:spacing w:line="500" w:lineRule="exact"/>
              <w:ind w:left="-105" w:leftChars="-50" w:right="-105" w:rightChars="-50"/>
              <w:jc w:val="center"/>
              <w:rPr>
                <w:rFonts w:hint="eastAsia" w:eastAsia="仿宋_GB2312"/>
                <w:color w:val="000000"/>
                <w:sz w:val="24"/>
              </w:rPr>
            </w:pPr>
          </w:p>
        </w:tc>
        <w:tc>
          <w:tcPr>
            <w:tcW w:w="1300" w:type="dxa"/>
            <w:gridSpan w:val="4"/>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动植物油</w:t>
            </w:r>
          </w:p>
        </w:tc>
        <w:tc>
          <w:tcPr>
            <w:tcW w:w="944" w:type="dxa"/>
            <w:gridSpan w:val="2"/>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0.14</w:t>
            </w:r>
          </w:p>
        </w:tc>
        <w:tc>
          <w:tcPr>
            <w:tcW w:w="784" w:type="dxa"/>
            <w:gridSpan w:val="4"/>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手动</w:t>
            </w:r>
          </w:p>
        </w:tc>
        <w:tc>
          <w:tcPr>
            <w:tcW w:w="654" w:type="dxa"/>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2021/3/26</w:t>
            </w:r>
          </w:p>
        </w:tc>
        <w:tc>
          <w:tcPr>
            <w:tcW w:w="999" w:type="dxa"/>
            <w:gridSpan w:val="3"/>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w:t>
            </w:r>
          </w:p>
        </w:tc>
        <w:tc>
          <w:tcPr>
            <w:tcW w:w="1062" w:type="dxa"/>
            <w:gridSpan w:val="4"/>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w:t>
            </w:r>
          </w:p>
        </w:tc>
        <w:tc>
          <w:tcPr>
            <w:tcW w:w="1936" w:type="dxa"/>
            <w:gridSpan w:val="2"/>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100</w:t>
            </w:r>
          </w:p>
        </w:tc>
        <w:tc>
          <w:tcPr>
            <w:tcW w:w="752" w:type="dxa"/>
            <w:gridSpan w:val="3"/>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否</w:t>
            </w:r>
          </w:p>
        </w:tc>
        <w:tc>
          <w:tcPr>
            <w:tcW w:w="772" w:type="dxa"/>
            <w:gridSpan w:val="2"/>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否</w:t>
            </w:r>
          </w:p>
        </w:tc>
        <w:tc>
          <w:tcPr>
            <w:tcW w:w="1125" w:type="dxa"/>
            <w:noWrap w:val="0"/>
            <w:vAlign w:val="center"/>
          </w:tcPr>
          <w:p>
            <w:pPr>
              <w:spacing w:line="500" w:lineRule="exact"/>
              <w:ind w:left="-105" w:leftChars="-50" w:right="-105" w:rightChars="-50"/>
              <w:jc w:val="center"/>
              <w:rPr>
                <w:rFonts w:hint="eastAsia"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065" w:type="dxa"/>
            <w:gridSpan w:val="2"/>
            <w:vMerge w:val="continue"/>
            <w:noWrap w:val="0"/>
            <w:vAlign w:val="center"/>
          </w:tcPr>
          <w:p>
            <w:pPr>
              <w:spacing w:line="500" w:lineRule="exact"/>
              <w:ind w:left="-105" w:leftChars="-50" w:right="-105" w:rightChars="-50"/>
              <w:jc w:val="center"/>
              <w:rPr>
                <w:rFonts w:hint="eastAsia" w:eastAsia="仿宋_GB2312"/>
                <w:color w:val="000000"/>
                <w:sz w:val="24"/>
              </w:rPr>
            </w:pPr>
          </w:p>
        </w:tc>
        <w:tc>
          <w:tcPr>
            <w:tcW w:w="1087" w:type="dxa"/>
            <w:gridSpan w:val="3"/>
            <w:vMerge w:val="continue"/>
            <w:noWrap w:val="0"/>
            <w:vAlign w:val="center"/>
          </w:tcPr>
          <w:p>
            <w:pPr>
              <w:spacing w:line="500" w:lineRule="exact"/>
              <w:ind w:left="-105" w:leftChars="-50" w:right="-105" w:rightChars="-50"/>
              <w:jc w:val="center"/>
              <w:rPr>
                <w:rFonts w:hint="eastAsia" w:eastAsia="仿宋_GB2312"/>
                <w:color w:val="000000"/>
                <w:sz w:val="24"/>
              </w:rPr>
            </w:pPr>
          </w:p>
        </w:tc>
        <w:tc>
          <w:tcPr>
            <w:tcW w:w="829" w:type="dxa"/>
            <w:gridSpan w:val="2"/>
            <w:vMerge w:val="continue"/>
            <w:noWrap w:val="0"/>
            <w:vAlign w:val="center"/>
          </w:tcPr>
          <w:p>
            <w:pPr>
              <w:spacing w:line="500" w:lineRule="exact"/>
              <w:ind w:left="-105" w:leftChars="-50" w:right="-105" w:rightChars="-50"/>
              <w:jc w:val="center"/>
              <w:rPr>
                <w:rFonts w:hint="eastAsia" w:eastAsia="仿宋_GB2312"/>
                <w:color w:val="000000"/>
                <w:sz w:val="24"/>
              </w:rPr>
            </w:pPr>
          </w:p>
        </w:tc>
        <w:tc>
          <w:tcPr>
            <w:tcW w:w="1300" w:type="dxa"/>
            <w:gridSpan w:val="4"/>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石油类</w:t>
            </w:r>
          </w:p>
        </w:tc>
        <w:tc>
          <w:tcPr>
            <w:tcW w:w="944" w:type="dxa"/>
            <w:gridSpan w:val="2"/>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0.18</w:t>
            </w:r>
          </w:p>
        </w:tc>
        <w:tc>
          <w:tcPr>
            <w:tcW w:w="784" w:type="dxa"/>
            <w:gridSpan w:val="4"/>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手动</w:t>
            </w:r>
          </w:p>
        </w:tc>
        <w:tc>
          <w:tcPr>
            <w:tcW w:w="654" w:type="dxa"/>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2021/3/26</w:t>
            </w:r>
          </w:p>
        </w:tc>
        <w:tc>
          <w:tcPr>
            <w:tcW w:w="999" w:type="dxa"/>
            <w:gridSpan w:val="3"/>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w:t>
            </w:r>
          </w:p>
        </w:tc>
        <w:tc>
          <w:tcPr>
            <w:tcW w:w="1062" w:type="dxa"/>
            <w:gridSpan w:val="4"/>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w:t>
            </w:r>
          </w:p>
        </w:tc>
        <w:tc>
          <w:tcPr>
            <w:tcW w:w="1936" w:type="dxa"/>
            <w:gridSpan w:val="2"/>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3.0</w:t>
            </w:r>
          </w:p>
        </w:tc>
        <w:tc>
          <w:tcPr>
            <w:tcW w:w="752" w:type="dxa"/>
            <w:gridSpan w:val="3"/>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否</w:t>
            </w:r>
          </w:p>
        </w:tc>
        <w:tc>
          <w:tcPr>
            <w:tcW w:w="772" w:type="dxa"/>
            <w:gridSpan w:val="2"/>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否</w:t>
            </w:r>
          </w:p>
        </w:tc>
        <w:tc>
          <w:tcPr>
            <w:tcW w:w="1125" w:type="dxa"/>
            <w:noWrap w:val="0"/>
            <w:vAlign w:val="center"/>
          </w:tcPr>
          <w:p>
            <w:pPr>
              <w:spacing w:line="500" w:lineRule="exact"/>
              <w:ind w:left="-105" w:leftChars="-50" w:right="-105" w:rightChars="-50"/>
              <w:jc w:val="center"/>
              <w:rPr>
                <w:rFonts w:hint="eastAsia"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065" w:type="dxa"/>
            <w:gridSpan w:val="2"/>
            <w:vMerge w:val="continue"/>
            <w:noWrap w:val="0"/>
            <w:vAlign w:val="center"/>
          </w:tcPr>
          <w:p>
            <w:pPr>
              <w:spacing w:line="500" w:lineRule="exact"/>
              <w:ind w:left="-105" w:leftChars="-50" w:right="-105" w:rightChars="-50"/>
              <w:jc w:val="center"/>
              <w:rPr>
                <w:rFonts w:hint="eastAsia" w:eastAsia="仿宋_GB2312"/>
                <w:color w:val="000000"/>
                <w:sz w:val="24"/>
              </w:rPr>
            </w:pPr>
          </w:p>
        </w:tc>
        <w:tc>
          <w:tcPr>
            <w:tcW w:w="1087" w:type="dxa"/>
            <w:gridSpan w:val="3"/>
            <w:vMerge w:val="continue"/>
            <w:noWrap w:val="0"/>
            <w:vAlign w:val="center"/>
          </w:tcPr>
          <w:p>
            <w:pPr>
              <w:spacing w:line="500" w:lineRule="exact"/>
              <w:ind w:left="-105" w:leftChars="-50" w:right="-105" w:rightChars="-50"/>
              <w:jc w:val="center"/>
              <w:rPr>
                <w:rFonts w:hint="eastAsia" w:eastAsia="仿宋_GB2312"/>
                <w:color w:val="000000"/>
                <w:sz w:val="24"/>
              </w:rPr>
            </w:pPr>
          </w:p>
        </w:tc>
        <w:tc>
          <w:tcPr>
            <w:tcW w:w="829" w:type="dxa"/>
            <w:gridSpan w:val="2"/>
            <w:vMerge w:val="continue"/>
            <w:noWrap w:val="0"/>
            <w:vAlign w:val="center"/>
          </w:tcPr>
          <w:p>
            <w:pPr>
              <w:spacing w:line="500" w:lineRule="exact"/>
              <w:ind w:left="-105" w:leftChars="-50" w:right="-105" w:rightChars="-50"/>
              <w:jc w:val="center"/>
              <w:rPr>
                <w:rFonts w:hint="eastAsia" w:eastAsia="仿宋_GB2312"/>
                <w:color w:val="000000"/>
                <w:sz w:val="24"/>
              </w:rPr>
            </w:pPr>
          </w:p>
        </w:tc>
        <w:tc>
          <w:tcPr>
            <w:tcW w:w="1300" w:type="dxa"/>
            <w:gridSpan w:val="4"/>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总镍</w:t>
            </w:r>
          </w:p>
        </w:tc>
        <w:tc>
          <w:tcPr>
            <w:tcW w:w="944" w:type="dxa"/>
            <w:gridSpan w:val="2"/>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0.0499</w:t>
            </w:r>
          </w:p>
        </w:tc>
        <w:tc>
          <w:tcPr>
            <w:tcW w:w="784" w:type="dxa"/>
            <w:gridSpan w:val="4"/>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手动</w:t>
            </w:r>
          </w:p>
        </w:tc>
        <w:tc>
          <w:tcPr>
            <w:tcW w:w="654" w:type="dxa"/>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2021/3/26</w:t>
            </w:r>
          </w:p>
        </w:tc>
        <w:tc>
          <w:tcPr>
            <w:tcW w:w="999" w:type="dxa"/>
            <w:gridSpan w:val="3"/>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0.12</w:t>
            </w:r>
          </w:p>
        </w:tc>
        <w:tc>
          <w:tcPr>
            <w:tcW w:w="1062" w:type="dxa"/>
            <w:gridSpan w:val="4"/>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0.44</w:t>
            </w:r>
          </w:p>
        </w:tc>
        <w:tc>
          <w:tcPr>
            <w:tcW w:w="1936" w:type="dxa"/>
            <w:gridSpan w:val="2"/>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0.5</w:t>
            </w:r>
          </w:p>
        </w:tc>
        <w:tc>
          <w:tcPr>
            <w:tcW w:w="752" w:type="dxa"/>
            <w:gridSpan w:val="3"/>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否</w:t>
            </w:r>
          </w:p>
        </w:tc>
        <w:tc>
          <w:tcPr>
            <w:tcW w:w="772" w:type="dxa"/>
            <w:gridSpan w:val="2"/>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是</w:t>
            </w:r>
          </w:p>
        </w:tc>
        <w:tc>
          <w:tcPr>
            <w:tcW w:w="1125" w:type="dxa"/>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已缴纳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065" w:type="dxa"/>
            <w:gridSpan w:val="2"/>
            <w:vMerge w:val="continue"/>
            <w:noWrap w:val="0"/>
            <w:vAlign w:val="center"/>
          </w:tcPr>
          <w:p>
            <w:pPr>
              <w:spacing w:line="500" w:lineRule="exact"/>
              <w:ind w:left="-105" w:leftChars="-50" w:right="-105" w:rightChars="-50"/>
              <w:jc w:val="center"/>
              <w:rPr>
                <w:rFonts w:hint="eastAsia" w:eastAsia="仿宋_GB2312"/>
                <w:color w:val="000000"/>
                <w:sz w:val="24"/>
              </w:rPr>
            </w:pPr>
          </w:p>
        </w:tc>
        <w:tc>
          <w:tcPr>
            <w:tcW w:w="1087" w:type="dxa"/>
            <w:gridSpan w:val="3"/>
            <w:vMerge w:val="continue"/>
            <w:noWrap w:val="0"/>
            <w:vAlign w:val="center"/>
          </w:tcPr>
          <w:p>
            <w:pPr>
              <w:spacing w:line="500" w:lineRule="exact"/>
              <w:ind w:left="-105" w:leftChars="-50" w:right="-105" w:rightChars="-50"/>
              <w:jc w:val="center"/>
              <w:rPr>
                <w:rFonts w:hint="eastAsia" w:eastAsia="仿宋_GB2312"/>
                <w:color w:val="000000"/>
                <w:sz w:val="24"/>
              </w:rPr>
            </w:pPr>
          </w:p>
        </w:tc>
        <w:tc>
          <w:tcPr>
            <w:tcW w:w="829" w:type="dxa"/>
            <w:gridSpan w:val="2"/>
            <w:vMerge w:val="continue"/>
            <w:noWrap w:val="0"/>
            <w:vAlign w:val="center"/>
          </w:tcPr>
          <w:p>
            <w:pPr>
              <w:spacing w:line="500" w:lineRule="exact"/>
              <w:ind w:left="-105" w:leftChars="-50" w:right="-105" w:rightChars="-50"/>
              <w:jc w:val="center"/>
              <w:rPr>
                <w:rFonts w:hint="eastAsia" w:eastAsia="仿宋_GB2312"/>
                <w:color w:val="000000"/>
                <w:sz w:val="24"/>
              </w:rPr>
            </w:pPr>
          </w:p>
        </w:tc>
        <w:tc>
          <w:tcPr>
            <w:tcW w:w="1300" w:type="dxa"/>
            <w:gridSpan w:val="4"/>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总铜</w:t>
            </w:r>
          </w:p>
        </w:tc>
        <w:tc>
          <w:tcPr>
            <w:tcW w:w="944" w:type="dxa"/>
            <w:gridSpan w:val="2"/>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0.056</w:t>
            </w:r>
          </w:p>
        </w:tc>
        <w:tc>
          <w:tcPr>
            <w:tcW w:w="784" w:type="dxa"/>
            <w:gridSpan w:val="4"/>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手动</w:t>
            </w:r>
          </w:p>
        </w:tc>
        <w:tc>
          <w:tcPr>
            <w:tcW w:w="654" w:type="dxa"/>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2021/3/26</w:t>
            </w:r>
          </w:p>
        </w:tc>
        <w:tc>
          <w:tcPr>
            <w:tcW w:w="999" w:type="dxa"/>
            <w:gridSpan w:val="3"/>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0.003</w:t>
            </w:r>
          </w:p>
        </w:tc>
        <w:tc>
          <w:tcPr>
            <w:tcW w:w="1062" w:type="dxa"/>
            <w:gridSpan w:val="4"/>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0.01</w:t>
            </w:r>
          </w:p>
        </w:tc>
        <w:tc>
          <w:tcPr>
            <w:tcW w:w="1936" w:type="dxa"/>
            <w:gridSpan w:val="2"/>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0.5</w:t>
            </w:r>
          </w:p>
        </w:tc>
        <w:tc>
          <w:tcPr>
            <w:tcW w:w="752" w:type="dxa"/>
            <w:gridSpan w:val="3"/>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否</w:t>
            </w:r>
          </w:p>
        </w:tc>
        <w:tc>
          <w:tcPr>
            <w:tcW w:w="772" w:type="dxa"/>
            <w:gridSpan w:val="2"/>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是</w:t>
            </w:r>
          </w:p>
        </w:tc>
        <w:tc>
          <w:tcPr>
            <w:tcW w:w="1125" w:type="dxa"/>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已缴纳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065" w:type="dxa"/>
            <w:gridSpan w:val="2"/>
            <w:vMerge w:val="continue"/>
            <w:noWrap w:val="0"/>
            <w:vAlign w:val="center"/>
          </w:tcPr>
          <w:p>
            <w:pPr>
              <w:spacing w:line="500" w:lineRule="exact"/>
              <w:ind w:left="-105" w:leftChars="-50" w:right="-105" w:rightChars="-50"/>
              <w:jc w:val="center"/>
              <w:rPr>
                <w:rFonts w:hint="eastAsia" w:eastAsia="仿宋_GB2312"/>
                <w:color w:val="000000"/>
                <w:sz w:val="24"/>
              </w:rPr>
            </w:pPr>
          </w:p>
        </w:tc>
        <w:tc>
          <w:tcPr>
            <w:tcW w:w="1087" w:type="dxa"/>
            <w:gridSpan w:val="3"/>
            <w:vMerge w:val="continue"/>
            <w:noWrap w:val="0"/>
            <w:vAlign w:val="center"/>
          </w:tcPr>
          <w:p>
            <w:pPr>
              <w:spacing w:line="500" w:lineRule="exact"/>
              <w:ind w:left="-105" w:leftChars="-50" w:right="-105" w:rightChars="-50"/>
              <w:jc w:val="center"/>
              <w:rPr>
                <w:rFonts w:hint="eastAsia" w:eastAsia="仿宋_GB2312"/>
                <w:color w:val="000000"/>
                <w:sz w:val="24"/>
              </w:rPr>
            </w:pPr>
          </w:p>
        </w:tc>
        <w:tc>
          <w:tcPr>
            <w:tcW w:w="829" w:type="dxa"/>
            <w:gridSpan w:val="2"/>
            <w:vMerge w:val="continue"/>
            <w:noWrap w:val="0"/>
            <w:vAlign w:val="center"/>
          </w:tcPr>
          <w:p>
            <w:pPr>
              <w:spacing w:line="500" w:lineRule="exact"/>
              <w:ind w:left="-105" w:leftChars="-50" w:right="-105" w:rightChars="-50"/>
              <w:jc w:val="center"/>
              <w:rPr>
                <w:rFonts w:hint="eastAsia" w:eastAsia="仿宋_GB2312"/>
                <w:color w:val="000000"/>
                <w:sz w:val="24"/>
              </w:rPr>
            </w:pPr>
          </w:p>
        </w:tc>
        <w:tc>
          <w:tcPr>
            <w:tcW w:w="1300" w:type="dxa"/>
            <w:gridSpan w:val="4"/>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总磷</w:t>
            </w:r>
          </w:p>
        </w:tc>
        <w:tc>
          <w:tcPr>
            <w:tcW w:w="944" w:type="dxa"/>
            <w:gridSpan w:val="2"/>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0.07</w:t>
            </w:r>
          </w:p>
        </w:tc>
        <w:tc>
          <w:tcPr>
            <w:tcW w:w="784" w:type="dxa"/>
            <w:gridSpan w:val="4"/>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手动</w:t>
            </w:r>
          </w:p>
        </w:tc>
        <w:tc>
          <w:tcPr>
            <w:tcW w:w="654" w:type="dxa"/>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2021/3/26</w:t>
            </w:r>
          </w:p>
        </w:tc>
        <w:tc>
          <w:tcPr>
            <w:tcW w:w="999" w:type="dxa"/>
            <w:gridSpan w:val="3"/>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w:t>
            </w:r>
          </w:p>
        </w:tc>
        <w:tc>
          <w:tcPr>
            <w:tcW w:w="1062" w:type="dxa"/>
            <w:gridSpan w:val="4"/>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w:t>
            </w:r>
          </w:p>
        </w:tc>
        <w:tc>
          <w:tcPr>
            <w:tcW w:w="1936" w:type="dxa"/>
            <w:gridSpan w:val="2"/>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1.0</w:t>
            </w:r>
          </w:p>
        </w:tc>
        <w:tc>
          <w:tcPr>
            <w:tcW w:w="752" w:type="dxa"/>
            <w:gridSpan w:val="3"/>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否</w:t>
            </w:r>
          </w:p>
        </w:tc>
        <w:tc>
          <w:tcPr>
            <w:tcW w:w="772" w:type="dxa"/>
            <w:gridSpan w:val="2"/>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否</w:t>
            </w:r>
          </w:p>
        </w:tc>
        <w:tc>
          <w:tcPr>
            <w:tcW w:w="1125" w:type="dxa"/>
            <w:noWrap w:val="0"/>
            <w:vAlign w:val="center"/>
          </w:tcPr>
          <w:p>
            <w:pPr>
              <w:spacing w:line="500" w:lineRule="exact"/>
              <w:ind w:left="-105" w:leftChars="-50" w:right="-105" w:rightChars="-50"/>
              <w:jc w:val="center"/>
              <w:rPr>
                <w:rFonts w:hint="eastAsia"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065" w:type="dxa"/>
            <w:gridSpan w:val="2"/>
            <w:vMerge w:val="continue"/>
            <w:noWrap w:val="0"/>
            <w:vAlign w:val="center"/>
          </w:tcPr>
          <w:p>
            <w:pPr>
              <w:spacing w:line="500" w:lineRule="exact"/>
              <w:ind w:left="-105" w:leftChars="-50" w:right="-105" w:rightChars="-50"/>
              <w:jc w:val="center"/>
              <w:rPr>
                <w:rFonts w:hint="eastAsia" w:eastAsia="仿宋_GB2312"/>
                <w:color w:val="000000"/>
                <w:sz w:val="24"/>
              </w:rPr>
            </w:pPr>
          </w:p>
        </w:tc>
        <w:tc>
          <w:tcPr>
            <w:tcW w:w="1087" w:type="dxa"/>
            <w:gridSpan w:val="3"/>
            <w:vMerge w:val="continue"/>
            <w:noWrap w:val="0"/>
            <w:vAlign w:val="center"/>
          </w:tcPr>
          <w:p>
            <w:pPr>
              <w:spacing w:line="500" w:lineRule="exact"/>
              <w:ind w:left="-105" w:leftChars="-50" w:right="-105" w:rightChars="-50"/>
              <w:jc w:val="center"/>
              <w:rPr>
                <w:rFonts w:hint="eastAsia" w:eastAsia="仿宋_GB2312"/>
                <w:color w:val="000000"/>
                <w:sz w:val="24"/>
              </w:rPr>
            </w:pPr>
          </w:p>
        </w:tc>
        <w:tc>
          <w:tcPr>
            <w:tcW w:w="829" w:type="dxa"/>
            <w:gridSpan w:val="2"/>
            <w:vMerge w:val="continue"/>
            <w:noWrap w:val="0"/>
            <w:vAlign w:val="center"/>
          </w:tcPr>
          <w:p>
            <w:pPr>
              <w:spacing w:line="500" w:lineRule="exact"/>
              <w:ind w:left="-105" w:leftChars="-50" w:right="-105" w:rightChars="-50"/>
              <w:jc w:val="center"/>
              <w:rPr>
                <w:rFonts w:hint="eastAsia" w:eastAsia="仿宋_GB2312"/>
                <w:color w:val="000000"/>
                <w:sz w:val="24"/>
              </w:rPr>
            </w:pPr>
          </w:p>
        </w:tc>
        <w:tc>
          <w:tcPr>
            <w:tcW w:w="1300" w:type="dxa"/>
            <w:gridSpan w:val="4"/>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COD</w:t>
            </w:r>
          </w:p>
        </w:tc>
        <w:tc>
          <w:tcPr>
            <w:tcW w:w="944" w:type="dxa"/>
            <w:gridSpan w:val="2"/>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20.76</w:t>
            </w:r>
          </w:p>
        </w:tc>
        <w:tc>
          <w:tcPr>
            <w:tcW w:w="784" w:type="dxa"/>
            <w:gridSpan w:val="4"/>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自动</w:t>
            </w:r>
          </w:p>
        </w:tc>
        <w:tc>
          <w:tcPr>
            <w:tcW w:w="654" w:type="dxa"/>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2021/3/26</w:t>
            </w:r>
          </w:p>
        </w:tc>
        <w:tc>
          <w:tcPr>
            <w:tcW w:w="999" w:type="dxa"/>
            <w:gridSpan w:val="3"/>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87.63</w:t>
            </w:r>
          </w:p>
        </w:tc>
        <w:tc>
          <w:tcPr>
            <w:tcW w:w="1062" w:type="dxa"/>
            <w:gridSpan w:val="4"/>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114.8</w:t>
            </w:r>
          </w:p>
        </w:tc>
        <w:tc>
          <w:tcPr>
            <w:tcW w:w="1936" w:type="dxa"/>
            <w:gridSpan w:val="2"/>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80</w:t>
            </w:r>
          </w:p>
        </w:tc>
        <w:tc>
          <w:tcPr>
            <w:tcW w:w="752" w:type="dxa"/>
            <w:gridSpan w:val="3"/>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否</w:t>
            </w:r>
          </w:p>
        </w:tc>
        <w:tc>
          <w:tcPr>
            <w:tcW w:w="772" w:type="dxa"/>
            <w:gridSpan w:val="2"/>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是</w:t>
            </w:r>
          </w:p>
        </w:tc>
        <w:tc>
          <w:tcPr>
            <w:tcW w:w="1125" w:type="dxa"/>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已缴纳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065" w:type="dxa"/>
            <w:gridSpan w:val="2"/>
            <w:vMerge w:val="continue"/>
            <w:noWrap w:val="0"/>
            <w:vAlign w:val="center"/>
          </w:tcPr>
          <w:p>
            <w:pPr>
              <w:spacing w:line="500" w:lineRule="exact"/>
              <w:ind w:left="-105" w:leftChars="-50" w:right="-105" w:rightChars="-50"/>
              <w:jc w:val="center"/>
              <w:rPr>
                <w:rFonts w:hint="eastAsia" w:eastAsia="仿宋_GB2312"/>
                <w:color w:val="000000"/>
                <w:sz w:val="24"/>
              </w:rPr>
            </w:pPr>
          </w:p>
        </w:tc>
        <w:tc>
          <w:tcPr>
            <w:tcW w:w="1087" w:type="dxa"/>
            <w:gridSpan w:val="3"/>
            <w:vMerge w:val="continue"/>
            <w:noWrap w:val="0"/>
            <w:vAlign w:val="center"/>
          </w:tcPr>
          <w:p>
            <w:pPr>
              <w:spacing w:line="500" w:lineRule="exact"/>
              <w:ind w:left="-105" w:leftChars="-50" w:right="-105" w:rightChars="-50"/>
              <w:jc w:val="center"/>
              <w:rPr>
                <w:rFonts w:hint="eastAsia" w:eastAsia="仿宋_GB2312"/>
                <w:color w:val="000000"/>
                <w:sz w:val="24"/>
              </w:rPr>
            </w:pPr>
          </w:p>
        </w:tc>
        <w:tc>
          <w:tcPr>
            <w:tcW w:w="829" w:type="dxa"/>
            <w:gridSpan w:val="2"/>
            <w:vMerge w:val="continue"/>
            <w:noWrap w:val="0"/>
            <w:vAlign w:val="center"/>
          </w:tcPr>
          <w:p>
            <w:pPr>
              <w:spacing w:line="500" w:lineRule="exact"/>
              <w:ind w:left="-105" w:leftChars="-50" w:right="-105" w:rightChars="-50"/>
              <w:jc w:val="center"/>
              <w:rPr>
                <w:rFonts w:hint="eastAsia" w:eastAsia="仿宋_GB2312"/>
                <w:color w:val="000000"/>
                <w:sz w:val="24"/>
              </w:rPr>
            </w:pPr>
          </w:p>
        </w:tc>
        <w:tc>
          <w:tcPr>
            <w:tcW w:w="1300" w:type="dxa"/>
            <w:gridSpan w:val="4"/>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氨氮</w:t>
            </w:r>
          </w:p>
        </w:tc>
        <w:tc>
          <w:tcPr>
            <w:tcW w:w="944" w:type="dxa"/>
            <w:gridSpan w:val="2"/>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0.054</w:t>
            </w:r>
          </w:p>
        </w:tc>
        <w:tc>
          <w:tcPr>
            <w:tcW w:w="784" w:type="dxa"/>
            <w:gridSpan w:val="4"/>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自动</w:t>
            </w:r>
          </w:p>
        </w:tc>
        <w:tc>
          <w:tcPr>
            <w:tcW w:w="654" w:type="dxa"/>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2021/3/26</w:t>
            </w:r>
          </w:p>
        </w:tc>
        <w:tc>
          <w:tcPr>
            <w:tcW w:w="999" w:type="dxa"/>
            <w:gridSpan w:val="3"/>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24.38</w:t>
            </w:r>
          </w:p>
        </w:tc>
        <w:tc>
          <w:tcPr>
            <w:tcW w:w="1062" w:type="dxa"/>
            <w:gridSpan w:val="4"/>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40.9</w:t>
            </w:r>
          </w:p>
        </w:tc>
        <w:tc>
          <w:tcPr>
            <w:tcW w:w="1936" w:type="dxa"/>
            <w:gridSpan w:val="2"/>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15</w:t>
            </w:r>
          </w:p>
        </w:tc>
        <w:tc>
          <w:tcPr>
            <w:tcW w:w="752" w:type="dxa"/>
            <w:gridSpan w:val="3"/>
            <w:noWrap w:val="0"/>
            <w:vAlign w:val="center"/>
          </w:tcPr>
          <w:p>
            <w:pPr>
              <w:spacing w:line="500" w:lineRule="exact"/>
              <w:ind w:left="-105" w:leftChars="-50" w:right="-105" w:rightChars="-50"/>
              <w:jc w:val="center"/>
              <w:rPr>
                <w:rFonts w:hint="eastAsia" w:eastAsia="仿宋_GB2312"/>
                <w:color w:val="000000"/>
                <w:sz w:val="24"/>
                <w:lang w:val="en-US" w:eastAsia="zh-CN"/>
              </w:rPr>
            </w:pPr>
            <w:r>
              <w:rPr>
                <w:rFonts w:hint="eastAsia" w:eastAsia="仿宋_GB2312"/>
                <w:color w:val="000000"/>
                <w:sz w:val="24"/>
                <w:lang w:val="en-US" w:eastAsia="zh-CN"/>
              </w:rPr>
              <w:t>否</w:t>
            </w:r>
          </w:p>
        </w:tc>
        <w:tc>
          <w:tcPr>
            <w:tcW w:w="772" w:type="dxa"/>
            <w:gridSpan w:val="2"/>
            <w:noWrap w:val="0"/>
            <w:vAlign w:val="center"/>
          </w:tcPr>
          <w:p>
            <w:pPr>
              <w:spacing w:line="500" w:lineRule="exact"/>
              <w:ind w:left="-105" w:leftChars="-50" w:right="-105" w:rightChars="-50"/>
              <w:jc w:val="center"/>
              <w:rPr>
                <w:rFonts w:hint="default" w:eastAsia="仿宋_GB2312"/>
                <w:color w:val="000000"/>
                <w:sz w:val="24"/>
                <w:lang w:val="en-US" w:eastAsia="zh-CN"/>
              </w:rPr>
            </w:pPr>
            <w:r>
              <w:rPr>
                <w:rFonts w:hint="eastAsia" w:eastAsia="仿宋_GB2312"/>
                <w:color w:val="000000"/>
                <w:sz w:val="24"/>
                <w:lang w:val="en-US" w:eastAsia="zh-CN"/>
              </w:rPr>
              <w:t>否</w:t>
            </w:r>
          </w:p>
        </w:tc>
        <w:tc>
          <w:tcPr>
            <w:tcW w:w="1125" w:type="dxa"/>
            <w:noWrap w:val="0"/>
            <w:vAlign w:val="center"/>
          </w:tcPr>
          <w:p>
            <w:pPr>
              <w:spacing w:line="500" w:lineRule="exact"/>
              <w:ind w:left="-105" w:leftChars="-50" w:right="-105" w:rightChars="-50"/>
              <w:jc w:val="center"/>
              <w:rPr>
                <w:rFonts w:hint="eastAsia"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309" w:type="dxa"/>
            <w:gridSpan w:val="33"/>
            <w:noWrap w:val="0"/>
            <w:vAlign w:val="top"/>
          </w:tcPr>
          <w:p>
            <w:pPr>
              <w:spacing w:line="400" w:lineRule="exact"/>
              <w:rPr>
                <w:rFonts w:ascii="Times New Roman" w:hAnsi="Times New Roman" w:eastAsia="仿宋_GB2312"/>
                <w:b/>
                <w:sz w:val="24"/>
                <w:szCs w:val="24"/>
              </w:rPr>
            </w:pPr>
            <w:r>
              <w:rPr>
                <w:rFonts w:hint="eastAsia" w:ascii="黑体" w:hAnsi="黑体" w:eastAsia="黑体"/>
              </w:rPr>
              <w:t>备注</w:t>
            </w:r>
            <w:r>
              <w:rPr>
                <w:rFonts w:hint="eastAsia"/>
              </w:rPr>
              <w:t>：</w:t>
            </w:r>
            <w:r>
              <w:rPr>
                <w:rFonts w:hint="eastAsia" w:ascii="楷体" w:hAnsi="楷体" w:eastAsia="楷体"/>
              </w:rPr>
              <w:t>纳管企业排放总量是以排放口排放浓度来计算。核定的排放总量是指经环保部门许可的排放量。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3309" w:type="dxa"/>
            <w:gridSpan w:val="33"/>
            <w:noWrap w:val="0"/>
            <w:vAlign w:val="center"/>
          </w:tcPr>
          <w:p>
            <w:pPr>
              <w:spacing w:line="600" w:lineRule="exact"/>
              <w:jc w:val="center"/>
              <w:rPr>
                <w:rFonts w:ascii="Times New Roman" w:hAnsi="Times New Roman" w:eastAsia="仿宋_GB2312"/>
                <w:sz w:val="24"/>
                <w:szCs w:val="24"/>
              </w:rPr>
            </w:pPr>
            <w:r>
              <w:rPr>
                <w:rFonts w:hint="eastAsia" w:eastAsia="仿宋_GB2312"/>
                <w:b/>
                <w:sz w:val="28"/>
                <w:szCs w:val="28"/>
              </w:rPr>
              <w:t>大气污染物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5959" w:type="dxa"/>
            <w:gridSpan w:val="16"/>
            <w:noWrap w:val="0"/>
            <w:vAlign w:val="center"/>
          </w:tcPr>
          <w:p>
            <w:pPr>
              <w:spacing w:line="6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排放口数量</w:t>
            </w:r>
          </w:p>
        </w:tc>
        <w:tc>
          <w:tcPr>
            <w:tcW w:w="7350" w:type="dxa"/>
            <w:gridSpan w:val="17"/>
            <w:noWrap w:val="0"/>
            <w:vAlign w:val="top"/>
          </w:tcPr>
          <w:p>
            <w:pPr>
              <w:spacing w:line="60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54" w:type="dxa"/>
            <w:noWrap w:val="0"/>
            <w:vAlign w:val="center"/>
          </w:tcPr>
          <w:p>
            <w:pPr>
              <w:spacing w:line="600" w:lineRule="exact"/>
              <w:ind w:left="-105" w:leftChars="-50" w:right="-105" w:rightChars="-50"/>
              <w:jc w:val="center"/>
              <w:rPr>
                <w:rFonts w:ascii="Times New Roman" w:hAnsi="Times New Roman" w:eastAsia="仿宋_GB2312"/>
                <w:sz w:val="24"/>
                <w:szCs w:val="24"/>
              </w:rPr>
            </w:pPr>
            <w:r>
              <w:rPr>
                <w:rFonts w:hint="eastAsia" w:ascii="Times New Roman" w:hAnsi="Times New Roman" w:eastAsia="仿宋_GB2312"/>
                <w:sz w:val="24"/>
                <w:szCs w:val="24"/>
              </w:rPr>
              <w:t>排放口编号或名称</w:t>
            </w:r>
          </w:p>
        </w:tc>
        <w:tc>
          <w:tcPr>
            <w:tcW w:w="1077" w:type="dxa"/>
            <w:gridSpan w:val="3"/>
            <w:noWrap w:val="0"/>
            <w:vAlign w:val="center"/>
          </w:tcPr>
          <w:p>
            <w:pPr>
              <w:spacing w:line="600" w:lineRule="exact"/>
              <w:ind w:left="-105" w:leftChars="-50" w:right="-105" w:rightChars="-50"/>
              <w:jc w:val="center"/>
              <w:rPr>
                <w:rFonts w:ascii="Times New Roman" w:hAnsi="Times New Roman" w:eastAsia="仿宋_GB2312"/>
                <w:sz w:val="24"/>
                <w:szCs w:val="24"/>
              </w:rPr>
            </w:pPr>
            <w:r>
              <w:rPr>
                <w:rFonts w:hint="eastAsia" w:ascii="Times New Roman" w:hAnsi="Times New Roman" w:eastAsia="仿宋_GB2312"/>
                <w:sz w:val="24"/>
                <w:szCs w:val="24"/>
              </w:rPr>
              <w:t>排放口位置</w:t>
            </w:r>
          </w:p>
        </w:tc>
        <w:tc>
          <w:tcPr>
            <w:tcW w:w="822" w:type="dxa"/>
            <w:gridSpan w:val="2"/>
            <w:noWrap w:val="0"/>
            <w:vAlign w:val="center"/>
          </w:tcPr>
          <w:p>
            <w:pPr>
              <w:spacing w:line="600" w:lineRule="exact"/>
              <w:ind w:left="-105" w:leftChars="-50" w:right="-105" w:rightChars="-50"/>
              <w:jc w:val="center"/>
              <w:rPr>
                <w:rFonts w:ascii="Times New Roman" w:hAnsi="Times New Roman" w:eastAsia="仿宋_GB2312"/>
                <w:sz w:val="24"/>
                <w:szCs w:val="24"/>
              </w:rPr>
            </w:pPr>
            <w:r>
              <w:rPr>
                <w:rFonts w:hint="eastAsia" w:ascii="Times New Roman" w:hAnsi="Times New Roman" w:eastAsia="仿宋_GB2312"/>
                <w:sz w:val="24"/>
                <w:szCs w:val="24"/>
              </w:rPr>
              <w:t>排放方式</w:t>
            </w:r>
          </w:p>
        </w:tc>
        <w:tc>
          <w:tcPr>
            <w:tcW w:w="1289" w:type="dxa"/>
            <w:gridSpan w:val="4"/>
            <w:noWrap w:val="0"/>
            <w:vAlign w:val="center"/>
          </w:tcPr>
          <w:p>
            <w:pPr>
              <w:spacing w:line="600" w:lineRule="exact"/>
              <w:ind w:left="-105" w:leftChars="-50" w:right="-105" w:rightChars="-50"/>
              <w:jc w:val="center"/>
              <w:rPr>
                <w:rFonts w:ascii="Times New Roman" w:hAnsi="Times New Roman" w:eastAsia="仿宋_GB2312"/>
                <w:sz w:val="24"/>
                <w:szCs w:val="24"/>
              </w:rPr>
            </w:pPr>
            <w:r>
              <w:rPr>
                <w:rFonts w:hint="eastAsia" w:ascii="Times New Roman" w:hAnsi="Times New Roman" w:eastAsia="仿宋_GB2312"/>
                <w:sz w:val="24"/>
                <w:szCs w:val="24"/>
              </w:rPr>
              <w:t>主要</w:t>
            </w:r>
            <w:r>
              <w:rPr>
                <w:rFonts w:ascii="Times New Roman" w:hAnsi="Times New Roman" w:eastAsia="仿宋_GB2312"/>
                <w:sz w:val="24"/>
                <w:szCs w:val="24"/>
              </w:rPr>
              <w:t>/</w:t>
            </w:r>
            <w:r>
              <w:rPr>
                <w:rFonts w:hint="eastAsia" w:ascii="Times New Roman" w:hAnsi="Times New Roman" w:eastAsia="仿宋_GB2312"/>
                <w:sz w:val="24"/>
                <w:szCs w:val="24"/>
              </w:rPr>
              <w:t>特征污染物名称</w:t>
            </w:r>
          </w:p>
        </w:tc>
        <w:tc>
          <w:tcPr>
            <w:tcW w:w="938" w:type="dxa"/>
            <w:gridSpan w:val="2"/>
            <w:noWrap w:val="0"/>
            <w:vAlign w:val="center"/>
          </w:tcPr>
          <w:p>
            <w:pPr>
              <w:spacing w:line="600" w:lineRule="exact"/>
              <w:ind w:left="-105" w:leftChars="-50" w:right="-105" w:rightChars="-50"/>
              <w:jc w:val="center"/>
              <w:rPr>
                <w:rFonts w:ascii="Times New Roman" w:hAnsi="Times New Roman" w:eastAsia="仿宋_GB2312"/>
                <w:sz w:val="24"/>
                <w:szCs w:val="24"/>
              </w:rPr>
            </w:pPr>
            <w:r>
              <w:rPr>
                <w:rFonts w:hint="eastAsia" w:ascii="Times New Roman" w:hAnsi="Times New Roman" w:eastAsia="仿宋_GB2312"/>
                <w:sz w:val="24"/>
                <w:szCs w:val="24"/>
              </w:rPr>
              <w:t>排放浓度（</w:t>
            </w:r>
            <w:r>
              <w:rPr>
                <w:rFonts w:ascii="Times New Roman" w:hAnsi="Times New Roman" w:eastAsia="仿宋_GB2312"/>
                <w:sz w:val="24"/>
                <w:szCs w:val="24"/>
              </w:rPr>
              <w:t>mg/m</w:t>
            </w:r>
            <w:r>
              <w:rPr>
                <w:rFonts w:ascii="Times New Roman" w:hAnsi="Times New Roman" w:eastAsia="仿宋_GB2312"/>
                <w:sz w:val="24"/>
                <w:szCs w:val="24"/>
                <w:vertAlign w:val="superscript"/>
              </w:rPr>
              <w:t>3</w:t>
            </w:r>
            <w:r>
              <w:rPr>
                <w:rFonts w:hint="eastAsia" w:ascii="Times New Roman" w:hAnsi="Times New Roman" w:eastAsia="仿宋_GB2312"/>
                <w:sz w:val="24"/>
                <w:szCs w:val="24"/>
              </w:rPr>
              <w:t>）</w:t>
            </w:r>
          </w:p>
        </w:tc>
        <w:tc>
          <w:tcPr>
            <w:tcW w:w="779" w:type="dxa"/>
            <w:gridSpan w:val="4"/>
            <w:noWrap w:val="0"/>
            <w:vAlign w:val="center"/>
          </w:tcPr>
          <w:p>
            <w:pPr>
              <w:spacing w:line="600" w:lineRule="exact"/>
              <w:ind w:left="-105" w:leftChars="-50" w:right="-105" w:rightChars="-50"/>
              <w:jc w:val="center"/>
              <w:rPr>
                <w:rFonts w:ascii="Times New Roman" w:hAnsi="Times New Roman" w:eastAsia="仿宋_GB2312"/>
                <w:sz w:val="24"/>
                <w:szCs w:val="24"/>
              </w:rPr>
            </w:pPr>
            <w:r>
              <w:rPr>
                <w:rFonts w:hint="eastAsia" w:ascii="Times New Roman" w:hAnsi="Times New Roman" w:eastAsia="仿宋_GB2312"/>
                <w:sz w:val="24"/>
                <w:szCs w:val="24"/>
              </w:rPr>
              <w:t>监测</w:t>
            </w:r>
          </w:p>
          <w:p>
            <w:pPr>
              <w:spacing w:line="600" w:lineRule="exact"/>
              <w:ind w:left="-105" w:leftChars="-50" w:right="-105" w:rightChars="-50"/>
              <w:jc w:val="center"/>
              <w:rPr>
                <w:rFonts w:ascii="Times New Roman" w:hAnsi="Times New Roman" w:eastAsia="仿宋_GB2312"/>
                <w:sz w:val="24"/>
                <w:szCs w:val="24"/>
              </w:rPr>
            </w:pPr>
            <w:r>
              <w:rPr>
                <w:rFonts w:hint="eastAsia" w:ascii="Times New Roman" w:hAnsi="Times New Roman" w:eastAsia="仿宋_GB2312"/>
                <w:sz w:val="24"/>
                <w:szCs w:val="24"/>
              </w:rPr>
              <w:t>时间</w:t>
            </w:r>
          </w:p>
        </w:tc>
        <w:tc>
          <w:tcPr>
            <w:tcW w:w="704" w:type="dxa"/>
            <w:gridSpan w:val="2"/>
            <w:noWrap w:val="0"/>
            <w:vAlign w:val="center"/>
          </w:tcPr>
          <w:p>
            <w:pPr>
              <w:spacing w:line="600" w:lineRule="exact"/>
              <w:ind w:left="-105" w:leftChars="-50" w:right="-105" w:rightChars="-50"/>
              <w:jc w:val="center"/>
              <w:rPr>
                <w:rFonts w:ascii="Times New Roman" w:hAnsi="Times New Roman" w:eastAsia="仿宋_GB2312"/>
                <w:sz w:val="24"/>
                <w:szCs w:val="24"/>
              </w:rPr>
            </w:pPr>
            <w:r>
              <w:rPr>
                <w:rFonts w:hint="eastAsia" w:ascii="Times New Roman" w:hAnsi="Times New Roman" w:eastAsia="仿宋_GB2312"/>
                <w:sz w:val="24"/>
                <w:szCs w:val="24"/>
              </w:rPr>
              <w:t>监测</w:t>
            </w:r>
          </w:p>
          <w:p>
            <w:pPr>
              <w:spacing w:line="600" w:lineRule="exact"/>
              <w:ind w:left="-105" w:leftChars="-50" w:right="-105" w:rightChars="-50"/>
              <w:jc w:val="center"/>
              <w:rPr>
                <w:rFonts w:ascii="Times New Roman" w:hAnsi="Times New Roman" w:eastAsia="仿宋_GB2312"/>
                <w:sz w:val="24"/>
                <w:szCs w:val="24"/>
              </w:rPr>
            </w:pPr>
            <w:r>
              <w:rPr>
                <w:rFonts w:hint="eastAsia" w:ascii="Times New Roman" w:hAnsi="Times New Roman" w:eastAsia="仿宋_GB2312"/>
                <w:sz w:val="24"/>
                <w:szCs w:val="24"/>
              </w:rPr>
              <w:t>方式</w:t>
            </w:r>
          </w:p>
        </w:tc>
        <w:tc>
          <w:tcPr>
            <w:tcW w:w="938" w:type="dxa"/>
            <w:gridSpan w:val="2"/>
            <w:noWrap w:val="0"/>
            <w:vAlign w:val="center"/>
          </w:tcPr>
          <w:p>
            <w:pPr>
              <w:spacing w:line="600" w:lineRule="exact"/>
              <w:ind w:left="-105" w:leftChars="-50" w:right="-105" w:rightChars="-50"/>
              <w:jc w:val="center"/>
              <w:rPr>
                <w:rFonts w:ascii="Times New Roman" w:hAnsi="Times New Roman" w:eastAsia="仿宋_GB2312"/>
                <w:sz w:val="24"/>
                <w:szCs w:val="24"/>
              </w:rPr>
            </w:pPr>
            <w:r>
              <w:rPr>
                <w:rFonts w:hint="eastAsia" w:ascii="Times New Roman" w:hAnsi="Times New Roman" w:eastAsia="仿宋_GB2312"/>
                <w:sz w:val="24"/>
                <w:szCs w:val="24"/>
              </w:rPr>
              <w:t>排放总量</w:t>
            </w:r>
            <w:r>
              <w:rPr>
                <w:rFonts w:ascii="Times New Roman" w:hAnsi="Times New Roman" w:eastAsia="仿宋_GB2312"/>
                <w:sz w:val="24"/>
                <w:szCs w:val="24"/>
              </w:rPr>
              <w:t>(kg/a)</w:t>
            </w:r>
          </w:p>
        </w:tc>
        <w:tc>
          <w:tcPr>
            <w:tcW w:w="1055" w:type="dxa"/>
            <w:gridSpan w:val="4"/>
            <w:noWrap w:val="0"/>
            <w:vAlign w:val="center"/>
          </w:tcPr>
          <w:p>
            <w:pPr>
              <w:spacing w:line="600" w:lineRule="exact"/>
              <w:ind w:left="-105" w:leftChars="-50" w:right="-105" w:rightChars="-50"/>
              <w:jc w:val="center"/>
              <w:rPr>
                <w:rFonts w:ascii="Times New Roman" w:hAnsi="Times New Roman" w:eastAsia="仿宋_GB2312"/>
                <w:sz w:val="24"/>
                <w:szCs w:val="24"/>
              </w:rPr>
            </w:pPr>
            <w:r>
              <w:rPr>
                <w:rFonts w:hint="eastAsia" w:ascii="Times New Roman" w:hAnsi="Times New Roman" w:eastAsia="仿宋_GB2312"/>
                <w:sz w:val="24"/>
                <w:szCs w:val="24"/>
              </w:rPr>
              <w:t>核定的排放总量（</w:t>
            </w:r>
            <w:r>
              <w:rPr>
                <w:rFonts w:ascii="Times New Roman" w:hAnsi="Times New Roman" w:eastAsia="仿宋_GB2312"/>
                <w:sz w:val="24"/>
                <w:szCs w:val="24"/>
              </w:rPr>
              <w:t>kg/a</w:t>
            </w:r>
            <w:r>
              <w:rPr>
                <w:rFonts w:hint="eastAsia" w:ascii="Times New Roman" w:hAnsi="Times New Roman" w:eastAsia="仿宋_GB2312"/>
                <w:sz w:val="24"/>
                <w:szCs w:val="24"/>
              </w:rPr>
              <w:t>）</w:t>
            </w:r>
          </w:p>
        </w:tc>
        <w:tc>
          <w:tcPr>
            <w:tcW w:w="2038" w:type="dxa"/>
            <w:gridSpan w:val="4"/>
            <w:noWrap w:val="0"/>
            <w:vAlign w:val="center"/>
          </w:tcPr>
          <w:p>
            <w:pPr>
              <w:spacing w:line="600" w:lineRule="exact"/>
              <w:ind w:left="-105" w:leftChars="-50" w:right="-105" w:rightChars="-50"/>
              <w:jc w:val="center"/>
              <w:rPr>
                <w:rFonts w:ascii="Times New Roman" w:hAnsi="Times New Roman" w:eastAsia="仿宋_GB2312"/>
                <w:sz w:val="24"/>
                <w:szCs w:val="24"/>
              </w:rPr>
            </w:pPr>
            <w:r>
              <w:rPr>
                <w:rFonts w:hint="eastAsia" w:ascii="Times New Roman" w:hAnsi="Times New Roman" w:eastAsia="仿宋_GB2312"/>
                <w:sz w:val="24"/>
                <w:szCs w:val="24"/>
              </w:rPr>
              <w:t>执行的污染物排放标准及浓度限值（</w:t>
            </w:r>
            <w:r>
              <w:rPr>
                <w:rFonts w:ascii="Times New Roman" w:hAnsi="Times New Roman" w:eastAsia="仿宋_GB2312"/>
                <w:sz w:val="24"/>
                <w:szCs w:val="24"/>
              </w:rPr>
              <w:t>mg/m</w:t>
            </w:r>
            <w:r>
              <w:rPr>
                <w:rFonts w:ascii="Times New Roman" w:hAnsi="Times New Roman" w:eastAsia="仿宋_GB2312"/>
                <w:sz w:val="24"/>
                <w:szCs w:val="24"/>
                <w:vertAlign w:val="superscript"/>
              </w:rPr>
              <w:t>3</w:t>
            </w:r>
            <w:r>
              <w:rPr>
                <w:rFonts w:hint="eastAsia" w:ascii="Times New Roman" w:hAnsi="Times New Roman" w:eastAsia="仿宋_GB2312"/>
                <w:sz w:val="24"/>
                <w:szCs w:val="24"/>
              </w:rPr>
              <w:t>）</w:t>
            </w:r>
          </w:p>
        </w:tc>
        <w:tc>
          <w:tcPr>
            <w:tcW w:w="746" w:type="dxa"/>
            <w:gridSpan w:val="3"/>
            <w:noWrap w:val="0"/>
            <w:vAlign w:val="center"/>
          </w:tcPr>
          <w:p>
            <w:pPr>
              <w:spacing w:line="600" w:lineRule="exact"/>
              <w:ind w:left="-105" w:leftChars="-50" w:right="-105" w:rightChars="-50"/>
              <w:jc w:val="center"/>
              <w:rPr>
                <w:rFonts w:ascii="Times New Roman" w:hAnsi="Times New Roman" w:eastAsia="仿宋_GB2312"/>
                <w:sz w:val="24"/>
                <w:szCs w:val="24"/>
              </w:rPr>
            </w:pPr>
            <w:r>
              <w:rPr>
                <w:rFonts w:hint="eastAsia" w:ascii="Times New Roman" w:hAnsi="Times New Roman" w:eastAsia="仿宋_GB2312"/>
                <w:sz w:val="24"/>
                <w:szCs w:val="24"/>
              </w:rPr>
              <w:t>是否</w:t>
            </w:r>
          </w:p>
          <w:p>
            <w:pPr>
              <w:spacing w:line="600" w:lineRule="exact"/>
              <w:ind w:left="-105" w:leftChars="-50" w:right="-105" w:rightChars="-50"/>
              <w:jc w:val="center"/>
              <w:rPr>
                <w:rFonts w:ascii="Times New Roman" w:hAnsi="Times New Roman" w:eastAsia="仿宋_GB2312"/>
                <w:sz w:val="24"/>
                <w:szCs w:val="24"/>
              </w:rPr>
            </w:pPr>
            <w:r>
              <w:rPr>
                <w:rFonts w:hint="eastAsia" w:ascii="Times New Roman" w:hAnsi="Times New Roman" w:eastAsia="仿宋_GB2312"/>
                <w:sz w:val="24"/>
                <w:szCs w:val="24"/>
              </w:rPr>
              <w:t>超标</w:t>
            </w:r>
          </w:p>
        </w:tc>
        <w:tc>
          <w:tcPr>
            <w:tcW w:w="744" w:type="dxa"/>
            <w:noWrap w:val="0"/>
            <w:vAlign w:val="center"/>
          </w:tcPr>
          <w:p>
            <w:pPr>
              <w:spacing w:line="600" w:lineRule="exact"/>
              <w:ind w:left="-105" w:leftChars="-50" w:right="-105" w:rightChars="-50"/>
              <w:jc w:val="center"/>
              <w:rPr>
                <w:rFonts w:ascii="Times New Roman" w:hAnsi="Times New Roman" w:eastAsia="仿宋_GB2312"/>
                <w:sz w:val="24"/>
                <w:szCs w:val="24"/>
              </w:rPr>
            </w:pPr>
            <w:r>
              <w:rPr>
                <w:rFonts w:hint="eastAsia" w:ascii="Times New Roman" w:hAnsi="Times New Roman" w:eastAsia="仿宋_GB2312"/>
                <w:sz w:val="24"/>
                <w:szCs w:val="24"/>
              </w:rPr>
              <w:t>是否需要缴纳排污费（税）</w:t>
            </w:r>
          </w:p>
        </w:tc>
        <w:tc>
          <w:tcPr>
            <w:tcW w:w="1125" w:type="dxa"/>
            <w:noWrap w:val="0"/>
            <w:vAlign w:val="center"/>
          </w:tcPr>
          <w:p>
            <w:pPr>
              <w:spacing w:line="600" w:lineRule="exact"/>
              <w:ind w:left="-105" w:leftChars="-50" w:right="-105" w:rightChars="-50"/>
              <w:jc w:val="center"/>
              <w:rPr>
                <w:rFonts w:ascii="Times New Roman" w:hAnsi="Times New Roman" w:eastAsia="仿宋_GB2312"/>
                <w:sz w:val="24"/>
                <w:szCs w:val="24"/>
              </w:rPr>
            </w:pPr>
            <w:r>
              <w:rPr>
                <w:rFonts w:hint="eastAsia" w:ascii="Times New Roman" w:hAnsi="Times New Roman" w:eastAsia="仿宋_GB2312"/>
                <w:sz w:val="24"/>
                <w:szCs w:val="24"/>
              </w:rPr>
              <w:t>缴纳情况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054" w:type="dxa"/>
            <w:noWrap w:val="0"/>
            <w:vAlign w:val="center"/>
          </w:tcPr>
          <w:p>
            <w:pPr>
              <w:widowControl/>
              <w:spacing w:before="100" w:beforeAutospacing="1" w:after="100" w:afterAutospacing="1"/>
              <w:ind w:left="-63"/>
              <w:jc w:val="center"/>
              <w:rPr>
                <w:rFonts w:hint="default"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lang w:val="en-US" w:eastAsia="zh-CN"/>
              </w:rPr>
              <w:t>排放口3</w:t>
            </w:r>
          </w:p>
        </w:tc>
        <w:tc>
          <w:tcPr>
            <w:tcW w:w="1077" w:type="dxa"/>
            <w:gridSpan w:val="3"/>
            <w:noWrap w:val="0"/>
            <w:vAlign w:val="center"/>
          </w:tcPr>
          <w:p>
            <w:pPr>
              <w:widowControl/>
              <w:spacing w:before="100" w:beforeAutospacing="1" w:after="100" w:afterAutospacing="1"/>
              <w:ind w:left="-63"/>
              <w:jc w:val="center"/>
              <w:rPr>
                <w:rFonts w:hint="default"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lang w:val="en-US" w:eastAsia="zh-CN"/>
              </w:rPr>
              <w:t>经度116°1′56.03″纬度39°7′33.35″</w:t>
            </w:r>
          </w:p>
        </w:tc>
        <w:tc>
          <w:tcPr>
            <w:tcW w:w="822" w:type="dxa"/>
            <w:gridSpan w:val="2"/>
            <w:noWrap w:val="0"/>
            <w:vAlign w:val="center"/>
          </w:tcPr>
          <w:p>
            <w:pPr>
              <w:widowControl/>
              <w:spacing w:before="100" w:beforeAutospacing="1" w:after="100" w:afterAutospacing="1"/>
              <w:ind w:left="-63"/>
              <w:jc w:val="center"/>
              <w:rPr>
                <w:rFonts w:hint="default"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lang w:val="en-US" w:eastAsia="zh-CN"/>
              </w:rPr>
              <w:t>排环境</w:t>
            </w:r>
          </w:p>
        </w:tc>
        <w:tc>
          <w:tcPr>
            <w:tcW w:w="1289" w:type="dxa"/>
            <w:gridSpan w:val="4"/>
            <w:noWrap w:val="0"/>
            <w:vAlign w:val="center"/>
          </w:tcPr>
          <w:p>
            <w:pPr>
              <w:widowControl/>
              <w:spacing w:before="100" w:beforeAutospacing="1" w:after="100" w:afterAutospacing="1"/>
              <w:ind w:left="-63"/>
              <w:jc w:val="center"/>
              <w:rPr>
                <w:rFonts w:hint="eastAsia"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lang w:val="en-US" w:eastAsia="zh-CN"/>
              </w:rPr>
              <w:t>硫酸雾</w:t>
            </w:r>
          </w:p>
        </w:tc>
        <w:tc>
          <w:tcPr>
            <w:tcW w:w="938" w:type="dxa"/>
            <w:gridSpan w:val="2"/>
            <w:noWrap w:val="0"/>
            <w:vAlign w:val="center"/>
          </w:tcPr>
          <w:p>
            <w:pPr>
              <w:widowControl/>
              <w:spacing w:before="100" w:beforeAutospacing="1" w:after="100" w:afterAutospacing="1"/>
              <w:ind w:left="-63"/>
              <w:jc w:val="center"/>
              <w:rPr>
                <w:rFonts w:hint="default"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lang w:val="en-US" w:eastAsia="zh-CN"/>
              </w:rPr>
              <w:t>未检出</w:t>
            </w:r>
          </w:p>
        </w:tc>
        <w:tc>
          <w:tcPr>
            <w:tcW w:w="779" w:type="dxa"/>
            <w:gridSpan w:val="4"/>
            <w:noWrap w:val="0"/>
            <w:vAlign w:val="top"/>
          </w:tcPr>
          <w:p>
            <w:pPr>
              <w:widowControl/>
              <w:spacing w:before="100" w:beforeAutospacing="1" w:after="100" w:afterAutospacing="1"/>
              <w:ind w:left="-63"/>
              <w:jc w:val="center"/>
              <w:rPr>
                <w:rFonts w:hint="eastAsia" w:ascii="Times New Roman" w:hAnsi="Times New Roman" w:eastAsia="仿宋_GB2312"/>
                <w:sz w:val="21"/>
                <w:szCs w:val="21"/>
                <w:highlight w:val="none"/>
                <w:lang w:val="en-US" w:eastAsia="zh-CN"/>
              </w:rPr>
            </w:pPr>
          </w:p>
          <w:p>
            <w:pPr>
              <w:widowControl/>
              <w:spacing w:before="100" w:beforeAutospacing="1" w:after="100" w:afterAutospacing="1"/>
              <w:ind w:left="-63"/>
              <w:jc w:val="center"/>
              <w:rPr>
                <w:rFonts w:hint="default"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lang w:val="en-US" w:eastAsia="zh-CN"/>
              </w:rPr>
              <w:t>2021/6/24</w:t>
            </w:r>
          </w:p>
        </w:tc>
        <w:tc>
          <w:tcPr>
            <w:tcW w:w="704" w:type="dxa"/>
            <w:gridSpan w:val="2"/>
            <w:noWrap w:val="0"/>
            <w:vAlign w:val="top"/>
          </w:tcPr>
          <w:p>
            <w:pPr>
              <w:widowControl/>
              <w:spacing w:before="100" w:beforeAutospacing="1" w:after="100" w:afterAutospacing="1"/>
              <w:jc w:val="both"/>
              <w:rPr>
                <w:rFonts w:hint="eastAsia" w:ascii="Times New Roman" w:hAnsi="Times New Roman" w:eastAsia="仿宋_GB2312"/>
                <w:sz w:val="21"/>
                <w:szCs w:val="21"/>
                <w:highlight w:val="none"/>
                <w:lang w:val="en-US" w:eastAsia="zh-CN"/>
              </w:rPr>
            </w:pPr>
          </w:p>
          <w:p>
            <w:pPr>
              <w:widowControl/>
              <w:spacing w:before="100" w:beforeAutospacing="1" w:after="100" w:afterAutospacing="1"/>
              <w:ind w:left="-63"/>
              <w:jc w:val="center"/>
              <w:rPr>
                <w:rFonts w:hint="eastAsia"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lang w:val="en-US" w:eastAsia="zh-CN"/>
              </w:rPr>
              <w:t>手动</w:t>
            </w:r>
          </w:p>
        </w:tc>
        <w:tc>
          <w:tcPr>
            <w:tcW w:w="938" w:type="dxa"/>
            <w:gridSpan w:val="2"/>
            <w:noWrap w:val="0"/>
            <w:vAlign w:val="center"/>
          </w:tcPr>
          <w:p>
            <w:pPr>
              <w:widowControl/>
              <w:spacing w:before="100" w:beforeAutospacing="1" w:after="100" w:afterAutospacing="1"/>
              <w:ind w:left="-63"/>
              <w:jc w:val="center"/>
              <w:rPr>
                <w:rFonts w:hint="eastAsia"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lang w:val="en-US" w:eastAsia="zh-CN"/>
              </w:rPr>
              <w:t>/</w:t>
            </w:r>
          </w:p>
        </w:tc>
        <w:tc>
          <w:tcPr>
            <w:tcW w:w="1055" w:type="dxa"/>
            <w:gridSpan w:val="4"/>
            <w:noWrap w:val="0"/>
            <w:vAlign w:val="center"/>
          </w:tcPr>
          <w:p>
            <w:pPr>
              <w:widowControl/>
              <w:spacing w:before="100" w:beforeAutospacing="1" w:after="100" w:afterAutospacing="1"/>
              <w:ind w:left="-63"/>
              <w:jc w:val="center"/>
              <w:rPr>
                <w:rFonts w:hint="eastAsia"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lang w:val="en-US" w:eastAsia="zh-CN"/>
              </w:rPr>
              <w:t>/</w:t>
            </w:r>
          </w:p>
        </w:tc>
        <w:tc>
          <w:tcPr>
            <w:tcW w:w="2038" w:type="dxa"/>
            <w:gridSpan w:val="4"/>
            <w:noWrap w:val="0"/>
            <w:vAlign w:val="center"/>
          </w:tcPr>
          <w:p>
            <w:pPr>
              <w:widowControl/>
              <w:spacing w:before="100" w:beforeAutospacing="1" w:after="100" w:afterAutospacing="1"/>
              <w:ind w:left="-63"/>
              <w:jc w:val="center"/>
              <w:rPr>
                <w:rFonts w:hint="default"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lang w:val="en-US" w:eastAsia="zh-CN"/>
              </w:rPr>
              <w:t>30mg/Nm³</w:t>
            </w:r>
          </w:p>
        </w:tc>
        <w:tc>
          <w:tcPr>
            <w:tcW w:w="746" w:type="dxa"/>
            <w:gridSpan w:val="3"/>
            <w:noWrap w:val="0"/>
            <w:vAlign w:val="center"/>
          </w:tcPr>
          <w:p>
            <w:pPr>
              <w:widowControl/>
              <w:spacing w:before="100" w:beforeAutospacing="1" w:after="100" w:afterAutospacing="1"/>
              <w:ind w:left="-63"/>
              <w:jc w:val="center"/>
              <w:rPr>
                <w:rFonts w:hint="eastAsia"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lang w:val="en-US" w:eastAsia="zh-CN"/>
              </w:rPr>
              <w:t>否</w:t>
            </w:r>
          </w:p>
        </w:tc>
        <w:tc>
          <w:tcPr>
            <w:tcW w:w="744" w:type="dxa"/>
            <w:noWrap w:val="0"/>
            <w:vAlign w:val="center"/>
          </w:tcPr>
          <w:p>
            <w:pPr>
              <w:widowControl/>
              <w:spacing w:before="100" w:beforeAutospacing="1" w:after="100" w:afterAutospacing="1"/>
              <w:ind w:left="-63"/>
              <w:jc w:val="center"/>
              <w:rPr>
                <w:rFonts w:hint="eastAsia"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lang w:val="en-US" w:eastAsia="zh-CN"/>
              </w:rPr>
              <w:t>否</w:t>
            </w:r>
          </w:p>
        </w:tc>
        <w:tc>
          <w:tcPr>
            <w:tcW w:w="1125" w:type="dxa"/>
            <w:noWrap w:val="0"/>
            <w:vAlign w:val="center"/>
          </w:tcPr>
          <w:p>
            <w:pPr>
              <w:widowControl/>
              <w:spacing w:before="100" w:beforeAutospacing="1" w:after="100" w:afterAutospacing="1"/>
              <w:ind w:left="-63"/>
              <w:jc w:val="center"/>
              <w:rPr>
                <w:rFonts w:hint="eastAsia" w:ascii="Times New Roman" w:hAnsi="Times New Roman" w:eastAsia="仿宋_GB231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309" w:type="dxa"/>
            <w:gridSpan w:val="33"/>
            <w:noWrap w:val="0"/>
            <w:vAlign w:val="center"/>
          </w:tcPr>
          <w:p>
            <w:pPr>
              <w:spacing w:line="560" w:lineRule="exact"/>
              <w:jc w:val="center"/>
              <w:rPr>
                <w:rFonts w:eastAsia="仿宋_GB2312"/>
                <w:b/>
                <w:sz w:val="28"/>
                <w:szCs w:val="28"/>
              </w:rPr>
            </w:pPr>
            <w:r>
              <w:rPr>
                <w:rFonts w:hint="eastAsia" w:eastAsia="仿宋_GB2312"/>
                <w:b/>
                <w:sz w:val="28"/>
                <w:szCs w:val="28"/>
              </w:rPr>
              <w:t>固体废物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86" w:type="dxa"/>
            <w:gridSpan w:val="3"/>
            <w:noWrap w:val="0"/>
            <w:vAlign w:val="center"/>
          </w:tcPr>
          <w:p>
            <w:pPr>
              <w:spacing w:line="500" w:lineRule="exact"/>
              <w:ind w:left="-105" w:leftChars="-50" w:right="-105" w:rightChars="-50"/>
              <w:jc w:val="center"/>
              <w:rPr>
                <w:rFonts w:eastAsia="仿宋_GB2312"/>
                <w:sz w:val="24"/>
              </w:rPr>
            </w:pPr>
            <w:r>
              <w:rPr>
                <w:rFonts w:hint="eastAsia" w:eastAsia="仿宋_GB2312"/>
                <w:sz w:val="24"/>
              </w:rPr>
              <w:t>废物名称</w:t>
            </w:r>
          </w:p>
        </w:tc>
        <w:tc>
          <w:tcPr>
            <w:tcW w:w="1879" w:type="dxa"/>
            <w:gridSpan w:val="5"/>
            <w:noWrap w:val="0"/>
            <w:vAlign w:val="center"/>
          </w:tcPr>
          <w:p>
            <w:pPr>
              <w:spacing w:line="500" w:lineRule="exact"/>
              <w:ind w:left="-105" w:leftChars="-50" w:right="-105" w:rightChars="-50"/>
              <w:jc w:val="center"/>
              <w:rPr>
                <w:rFonts w:eastAsia="仿宋_GB2312"/>
                <w:sz w:val="24"/>
              </w:rPr>
            </w:pPr>
            <w:r>
              <w:rPr>
                <w:rFonts w:hint="eastAsia" w:eastAsia="仿宋_GB2312"/>
                <w:sz w:val="24"/>
              </w:rPr>
              <w:t>是否危险废物</w:t>
            </w:r>
          </w:p>
        </w:tc>
        <w:tc>
          <w:tcPr>
            <w:tcW w:w="1970" w:type="dxa"/>
            <w:gridSpan w:val="7"/>
            <w:noWrap w:val="0"/>
            <w:vAlign w:val="center"/>
          </w:tcPr>
          <w:p>
            <w:pPr>
              <w:spacing w:line="500" w:lineRule="exact"/>
              <w:ind w:left="-105" w:leftChars="-50" w:right="-105" w:rightChars="-50"/>
              <w:jc w:val="center"/>
              <w:rPr>
                <w:rFonts w:eastAsia="仿宋_GB2312"/>
                <w:sz w:val="24"/>
              </w:rPr>
            </w:pPr>
            <w:r>
              <w:rPr>
                <w:rFonts w:hint="eastAsia" w:eastAsia="仿宋_GB2312"/>
                <w:sz w:val="24"/>
              </w:rPr>
              <w:t>处理处置方式</w:t>
            </w:r>
          </w:p>
        </w:tc>
        <w:tc>
          <w:tcPr>
            <w:tcW w:w="2265" w:type="dxa"/>
            <w:gridSpan w:val="7"/>
            <w:noWrap w:val="0"/>
            <w:vAlign w:val="center"/>
          </w:tcPr>
          <w:p>
            <w:pPr>
              <w:spacing w:line="500" w:lineRule="exact"/>
              <w:ind w:left="-105" w:leftChars="-50" w:right="-105" w:rightChars="-50"/>
              <w:jc w:val="center"/>
              <w:rPr>
                <w:rFonts w:eastAsia="仿宋_GB2312"/>
                <w:sz w:val="24"/>
              </w:rPr>
            </w:pPr>
            <w:r>
              <w:rPr>
                <w:rFonts w:hint="eastAsia" w:eastAsia="仿宋_GB2312"/>
                <w:sz w:val="24"/>
              </w:rPr>
              <w:t>处理处置数量（</w:t>
            </w:r>
            <w:r>
              <w:rPr>
                <w:rFonts w:eastAsia="仿宋_GB2312"/>
                <w:sz w:val="24"/>
              </w:rPr>
              <w:t>t</w:t>
            </w:r>
            <w:r>
              <w:rPr>
                <w:rFonts w:hint="eastAsia" w:eastAsia="仿宋_GB2312"/>
                <w:sz w:val="24"/>
              </w:rPr>
              <w:t>）</w:t>
            </w:r>
          </w:p>
        </w:tc>
        <w:tc>
          <w:tcPr>
            <w:tcW w:w="1713" w:type="dxa"/>
            <w:gridSpan w:val="4"/>
            <w:noWrap w:val="0"/>
            <w:vAlign w:val="center"/>
          </w:tcPr>
          <w:p>
            <w:pPr>
              <w:spacing w:line="500" w:lineRule="exact"/>
              <w:ind w:right="-105" w:rightChars="-50"/>
              <w:jc w:val="center"/>
              <w:rPr>
                <w:rFonts w:eastAsia="仿宋_GB2312"/>
                <w:sz w:val="24"/>
              </w:rPr>
            </w:pPr>
            <w:r>
              <w:rPr>
                <w:rFonts w:hint="eastAsia" w:eastAsia="仿宋_GB2312"/>
                <w:sz w:val="24"/>
              </w:rPr>
              <w:t>处置去向</w:t>
            </w:r>
          </w:p>
        </w:tc>
        <w:tc>
          <w:tcPr>
            <w:tcW w:w="1696" w:type="dxa"/>
            <w:gridSpan w:val="3"/>
            <w:noWrap w:val="0"/>
            <w:vAlign w:val="center"/>
          </w:tcPr>
          <w:p>
            <w:pPr>
              <w:spacing w:line="500" w:lineRule="exact"/>
              <w:ind w:right="-105" w:rightChars="-50"/>
              <w:jc w:val="center"/>
              <w:rPr>
                <w:rFonts w:eastAsia="仿宋_GB2312"/>
                <w:sz w:val="24"/>
              </w:rPr>
            </w:pPr>
            <w:r>
              <w:rPr>
                <w:rFonts w:hint="eastAsia" w:eastAsia="仿宋_GB2312"/>
                <w:sz w:val="24"/>
              </w:rPr>
              <w:t>是否需要缴纳排污费（税）</w:t>
            </w:r>
          </w:p>
        </w:tc>
        <w:tc>
          <w:tcPr>
            <w:tcW w:w="2000" w:type="dxa"/>
            <w:gridSpan w:val="4"/>
            <w:noWrap w:val="0"/>
            <w:vAlign w:val="center"/>
          </w:tcPr>
          <w:p>
            <w:pPr>
              <w:spacing w:line="500" w:lineRule="exact"/>
              <w:ind w:right="-105" w:rightChars="-50"/>
              <w:jc w:val="center"/>
              <w:rPr>
                <w:rFonts w:eastAsia="仿宋_GB2312"/>
                <w:sz w:val="24"/>
              </w:rPr>
            </w:pPr>
            <w:r>
              <w:rPr>
                <w:rFonts w:hint="eastAsia" w:eastAsia="仿宋_GB2312"/>
                <w:sz w:val="24"/>
              </w:rPr>
              <w:t>缴纳情况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86" w:type="dxa"/>
            <w:gridSpan w:val="3"/>
            <w:noWrap w:val="0"/>
            <w:vAlign w:val="center"/>
          </w:tcPr>
          <w:p>
            <w:pPr>
              <w:widowControl/>
              <w:spacing w:before="100" w:beforeAutospacing="1" w:after="100" w:afterAutospacing="1"/>
              <w:jc w:val="center"/>
              <w:rPr>
                <w:rFonts w:hint="default" w:eastAsia="仿宋_GB2312"/>
                <w:sz w:val="24"/>
                <w:highlight w:val="none"/>
                <w:lang w:val="en-US" w:eastAsia="zh-CN"/>
              </w:rPr>
            </w:pPr>
            <w:r>
              <w:rPr>
                <w:rFonts w:hint="eastAsia" w:eastAsia="仿宋_GB2312"/>
                <w:sz w:val="24"/>
                <w:highlight w:val="none"/>
                <w:lang w:val="en-US" w:eastAsia="zh-CN"/>
              </w:rPr>
              <w:t>电镀污泥</w:t>
            </w:r>
          </w:p>
        </w:tc>
        <w:tc>
          <w:tcPr>
            <w:tcW w:w="1879" w:type="dxa"/>
            <w:gridSpan w:val="5"/>
            <w:noWrap w:val="0"/>
            <w:vAlign w:val="center"/>
          </w:tcPr>
          <w:p>
            <w:pPr>
              <w:widowControl/>
              <w:spacing w:before="100" w:beforeAutospacing="1" w:after="100" w:afterAutospacing="1"/>
              <w:ind w:left="-105"/>
              <w:jc w:val="center"/>
              <w:rPr>
                <w:rFonts w:hint="eastAsia" w:eastAsia="仿宋_GB2312"/>
                <w:sz w:val="24"/>
                <w:highlight w:val="none"/>
                <w:lang w:val="en-US" w:eastAsia="zh-CN"/>
              </w:rPr>
            </w:pPr>
            <w:r>
              <w:rPr>
                <w:rFonts w:hint="eastAsia" w:eastAsia="仿宋_GB2312"/>
                <w:sz w:val="24"/>
                <w:highlight w:val="none"/>
                <w:lang w:val="en-US" w:eastAsia="zh-CN"/>
              </w:rPr>
              <w:t>是</w:t>
            </w:r>
          </w:p>
        </w:tc>
        <w:tc>
          <w:tcPr>
            <w:tcW w:w="1970" w:type="dxa"/>
            <w:gridSpan w:val="7"/>
            <w:noWrap w:val="0"/>
            <w:vAlign w:val="center"/>
          </w:tcPr>
          <w:p>
            <w:pPr>
              <w:widowControl/>
              <w:spacing w:before="100" w:beforeAutospacing="1" w:after="100" w:afterAutospacing="1"/>
              <w:ind w:left="-105"/>
              <w:jc w:val="center"/>
              <w:rPr>
                <w:rFonts w:hint="default" w:eastAsia="仿宋_GB2312"/>
                <w:sz w:val="24"/>
                <w:highlight w:val="none"/>
                <w:lang w:val="en-US" w:eastAsia="zh-CN"/>
              </w:rPr>
            </w:pPr>
            <w:r>
              <w:rPr>
                <w:rFonts w:hint="eastAsia" w:eastAsia="仿宋_GB2312"/>
                <w:sz w:val="24"/>
                <w:highlight w:val="none"/>
                <w:lang w:val="en-US" w:eastAsia="zh-CN"/>
              </w:rPr>
              <w:t>委托处置</w:t>
            </w:r>
          </w:p>
        </w:tc>
        <w:tc>
          <w:tcPr>
            <w:tcW w:w="2265" w:type="dxa"/>
            <w:gridSpan w:val="7"/>
            <w:noWrap w:val="0"/>
            <w:vAlign w:val="center"/>
          </w:tcPr>
          <w:p>
            <w:pPr>
              <w:widowControl/>
              <w:spacing w:before="100" w:beforeAutospacing="1" w:after="100" w:afterAutospacing="1"/>
              <w:ind w:left="-105"/>
              <w:jc w:val="center"/>
              <w:rPr>
                <w:rFonts w:hint="default" w:eastAsia="仿宋_GB2312"/>
                <w:sz w:val="24"/>
                <w:highlight w:val="none"/>
                <w:lang w:val="en-US" w:eastAsia="zh-CN"/>
              </w:rPr>
            </w:pPr>
            <w:r>
              <w:rPr>
                <w:rFonts w:hint="eastAsia" w:eastAsia="仿宋_GB2312"/>
                <w:sz w:val="24"/>
                <w:highlight w:val="none"/>
                <w:lang w:val="en-US" w:eastAsia="zh-CN"/>
              </w:rPr>
              <w:t>11.8857</w:t>
            </w:r>
          </w:p>
        </w:tc>
        <w:tc>
          <w:tcPr>
            <w:tcW w:w="1713" w:type="dxa"/>
            <w:gridSpan w:val="4"/>
            <w:noWrap w:val="0"/>
            <w:vAlign w:val="center"/>
          </w:tcPr>
          <w:p>
            <w:pPr>
              <w:widowControl/>
              <w:spacing w:before="100" w:beforeAutospacing="1" w:after="100" w:afterAutospacing="1"/>
              <w:jc w:val="center"/>
              <w:rPr>
                <w:rFonts w:hint="default" w:eastAsia="仿宋_GB2312"/>
                <w:sz w:val="24"/>
                <w:highlight w:val="none"/>
                <w:lang w:val="en-US" w:eastAsia="zh-CN"/>
              </w:rPr>
            </w:pPr>
            <w:r>
              <w:rPr>
                <w:rFonts w:hint="eastAsia" w:eastAsia="仿宋_GB2312"/>
                <w:sz w:val="24"/>
                <w:highlight w:val="none"/>
                <w:lang w:val="en-US" w:eastAsia="zh-CN"/>
              </w:rPr>
              <w:t>涞水金隅冀东环保科技有限公司</w:t>
            </w:r>
          </w:p>
        </w:tc>
        <w:tc>
          <w:tcPr>
            <w:tcW w:w="1696" w:type="dxa"/>
            <w:gridSpan w:val="3"/>
            <w:noWrap w:val="0"/>
            <w:vAlign w:val="center"/>
          </w:tcPr>
          <w:p>
            <w:pPr>
              <w:widowControl/>
              <w:spacing w:before="100" w:beforeAutospacing="1" w:after="100" w:afterAutospacing="1"/>
              <w:jc w:val="center"/>
              <w:rPr>
                <w:rFonts w:hint="default" w:eastAsia="仿宋_GB2312"/>
                <w:sz w:val="24"/>
                <w:highlight w:val="none"/>
                <w:lang w:val="en-US" w:eastAsia="zh-CN"/>
              </w:rPr>
            </w:pPr>
            <w:r>
              <w:rPr>
                <w:rFonts w:hint="eastAsia" w:eastAsia="仿宋_GB2312"/>
                <w:sz w:val="24"/>
                <w:highlight w:val="none"/>
                <w:lang w:val="en-US" w:eastAsia="zh-CN"/>
              </w:rPr>
              <w:t>否</w:t>
            </w:r>
          </w:p>
        </w:tc>
        <w:tc>
          <w:tcPr>
            <w:tcW w:w="2000" w:type="dxa"/>
            <w:gridSpan w:val="4"/>
            <w:noWrap w:val="0"/>
            <w:vAlign w:val="center"/>
          </w:tcPr>
          <w:p>
            <w:pPr>
              <w:widowControl/>
              <w:spacing w:before="100" w:beforeAutospacing="1" w:after="100" w:afterAutospacing="1"/>
              <w:jc w:val="center"/>
              <w:rPr>
                <w:rFonts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86" w:type="dxa"/>
            <w:gridSpan w:val="3"/>
            <w:noWrap w:val="0"/>
            <w:vAlign w:val="center"/>
          </w:tcPr>
          <w:p>
            <w:pPr>
              <w:widowControl/>
              <w:spacing w:before="100" w:beforeAutospacing="1" w:after="100" w:afterAutospacing="1"/>
              <w:ind w:left="-105"/>
              <w:jc w:val="center"/>
              <w:rPr>
                <w:rFonts w:hint="default" w:eastAsia="仿宋_GB2312"/>
                <w:sz w:val="24"/>
                <w:lang w:val="en-US" w:eastAsia="zh-CN"/>
              </w:rPr>
            </w:pPr>
            <w:r>
              <w:rPr>
                <w:rFonts w:hint="eastAsia" w:eastAsia="仿宋_GB2312"/>
                <w:sz w:val="24"/>
                <w:lang w:val="en-US" w:eastAsia="zh-CN"/>
              </w:rPr>
              <w:t>监测废液</w:t>
            </w:r>
          </w:p>
        </w:tc>
        <w:tc>
          <w:tcPr>
            <w:tcW w:w="1879" w:type="dxa"/>
            <w:gridSpan w:val="5"/>
            <w:noWrap w:val="0"/>
            <w:vAlign w:val="center"/>
          </w:tcPr>
          <w:p>
            <w:pPr>
              <w:widowControl/>
              <w:spacing w:before="100" w:beforeAutospacing="1" w:after="100" w:afterAutospacing="1"/>
              <w:ind w:left="-105"/>
              <w:jc w:val="center"/>
              <w:rPr>
                <w:rFonts w:hint="eastAsia" w:eastAsia="仿宋_GB2312"/>
                <w:sz w:val="24"/>
                <w:lang w:val="en-US" w:eastAsia="zh-CN"/>
              </w:rPr>
            </w:pPr>
            <w:r>
              <w:rPr>
                <w:rFonts w:hint="eastAsia" w:eastAsia="仿宋_GB2312"/>
                <w:sz w:val="24"/>
                <w:lang w:val="en-US" w:eastAsia="zh-CN"/>
              </w:rPr>
              <w:t>是</w:t>
            </w:r>
          </w:p>
        </w:tc>
        <w:tc>
          <w:tcPr>
            <w:tcW w:w="1970" w:type="dxa"/>
            <w:gridSpan w:val="7"/>
            <w:noWrap w:val="0"/>
            <w:vAlign w:val="center"/>
          </w:tcPr>
          <w:p>
            <w:pPr>
              <w:widowControl/>
              <w:spacing w:before="100" w:beforeAutospacing="1" w:after="100" w:afterAutospacing="1"/>
              <w:ind w:left="-105"/>
              <w:jc w:val="center"/>
              <w:rPr>
                <w:rFonts w:hint="default" w:eastAsia="仿宋_GB2312"/>
                <w:sz w:val="24"/>
                <w:lang w:val="en-US" w:eastAsia="zh-CN"/>
              </w:rPr>
            </w:pPr>
            <w:r>
              <w:rPr>
                <w:rFonts w:hint="eastAsia" w:eastAsia="仿宋_GB2312"/>
                <w:sz w:val="24"/>
                <w:lang w:val="en-US" w:eastAsia="zh-CN"/>
              </w:rPr>
              <w:t>委托处置</w:t>
            </w:r>
          </w:p>
        </w:tc>
        <w:tc>
          <w:tcPr>
            <w:tcW w:w="2265" w:type="dxa"/>
            <w:gridSpan w:val="7"/>
            <w:noWrap w:val="0"/>
            <w:vAlign w:val="center"/>
          </w:tcPr>
          <w:p>
            <w:pPr>
              <w:widowControl/>
              <w:spacing w:before="100" w:beforeAutospacing="1" w:after="100" w:afterAutospacing="1"/>
              <w:ind w:left="-105"/>
              <w:jc w:val="center"/>
              <w:rPr>
                <w:rFonts w:hint="default" w:eastAsia="仿宋_GB2312"/>
                <w:sz w:val="24"/>
                <w:lang w:val="en-US" w:eastAsia="zh-CN"/>
              </w:rPr>
            </w:pPr>
            <w:r>
              <w:rPr>
                <w:rFonts w:hint="eastAsia" w:eastAsia="仿宋_GB2312"/>
                <w:sz w:val="24"/>
                <w:lang w:val="en-US" w:eastAsia="zh-CN"/>
              </w:rPr>
              <w:t>0.1247</w:t>
            </w:r>
          </w:p>
        </w:tc>
        <w:tc>
          <w:tcPr>
            <w:tcW w:w="1713" w:type="dxa"/>
            <w:gridSpan w:val="4"/>
            <w:noWrap w:val="0"/>
            <w:vAlign w:val="center"/>
          </w:tcPr>
          <w:p>
            <w:pPr>
              <w:widowControl/>
              <w:spacing w:before="100" w:beforeAutospacing="1" w:after="100" w:afterAutospacing="1"/>
              <w:jc w:val="left"/>
              <w:rPr>
                <w:rFonts w:hint="default" w:eastAsia="仿宋_GB2312"/>
                <w:sz w:val="24"/>
                <w:lang w:val="en-US" w:eastAsia="zh-CN"/>
              </w:rPr>
            </w:pPr>
            <w:r>
              <w:rPr>
                <w:rFonts w:hint="eastAsia" w:eastAsia="仿宋_GB2312"/>
                <w:sz w:val="24"/>
                <w:lang w:val="en-US" w:eastAsia="zh-CN"/>
              </w:rPr>
              <w:t>河北风华环保服务有限公司</w:t>
            </w:r>
          </w:p>
        </w:tc>
        <w:tc>
          <w:tcPr>
            <w:tcW w:w="1696" w:type="dxa"/>
            <w:gridSpan w:val="3"/>
            <w:noWrap w:val="0"/>
            <w:vAlign w:val="center"/>
          </w:tcPr>
          <w:p>
            <w:pPr>
              <w:widowControl/>
              <w:spacing w:before="100" w:beforeAutospacing="1" w:after="100" w:afterAutospacing="1"/>
              <w:ind w:firstLine="720" w:firstLineChars="300"/>
              <w:jc w:val="left"/>
              <w:rPr>
                <w:rFonts w:hint="eastAsia" w:eastAsia="仿宋_GB2312"/>
                <w:sz w:val="24"/>
                <w:lang w:val="en-US" w:eastAsia="zh-CN"/>
              </w:rPr>
            </w:pPr>
            <w:r>
              <w:rPr>
                <w:rFonts w:hint="eastAsia" w:eastAsia="仿宋_GB2312"/>
                <w:sz w:val="24"/>
                <w:lang w:val="en-US" w:eastAsia="zh-CN"/>
              </w:rPr>
              <w:t>否</w:t>
            </w:r>
          </w:p>
        </w:tc>
        <w:tc>
          <w:tcPr>
            <w:tcW w:w="2000" w:type="dxa"/>
            <w:gridSpan w:val="4"/>
            <w:noWrap w:val="0"/>
            <w:vAlign w:val="center"/>
          </w:tcPr>
          <w:p>
            <w:pPr>
              <w:widowControl/>
              <w:spacing w:before="100" w:beforeAutospacing="1" w:after="100" w:afterAutospacing="1"/>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86" w:type="dxa"/>
            <w:gridSpan w:val="3"/>
            <w:noWrap w:val="0"/>
            <w:vAlign w:val="center"/>
          </w:tcPr>
          <w:p>
            <w:pPr>
              <w:spacing w:line="500" w:lineRule="exact"/>
              <w:ind w:left="-105" w:leftChars="-50" w:right="-105" w:rightChars="-50"/>
              <w:jc w:val="center"/>
              <w:rPr>
                <w:rFonts w:hint="default" w:eastAsia="仿宋_GB2312"/>
                <w:sz w:val="24"/>
                <w:lang w:val="en-US" w:eastAsia="zh-CN"/>
              </w:rPr>
            </w:pPr>
            <w:r>
              <w:rPr>
                <w:rFonts w:hint="eastAsia" w:eastAsia="仿宋_GB2312"/>
                <w:sz w:val="24"/>
                <w:lang w:val="en-US" w:eastAsia="zh-CN"/>
              </w:rPr>
              <w:t>废滤芯</w:t>
            </w:r>
          </w:p>
        </w:tc>
        <w:tc>
          <w:tcPr>
            <w:tcW w:w="1879" w:type="dxa"/>
            <w:gridSpan w:val="5"/>
            <w:noWrap w:val="0"/>
            <w:vAlign w:val="center"/>
          </w:tcPr>
          <w:p>
            <w:pPr>
              <w:spacing w:line="500" w:lineRule="exact"/>
              <w:ind w:left="-105" w:leftChars="-50" w:right="-105" w:rightChars="-50"/>
              <w:jc w:val="center"/>
              <w:rPr>
                <w:rFonts w:hint="eastAsia" w:eastAsia="仿宋_GB2312"/>
                <w:sz w:val="24"/>
                <w:lang w:val="en-US" w:eastAsia="zh-CN"/>
              </w:rPr>
            </w:pPr>
            <w:r>
              <w:rPr>
                <w:rFonts w:hint="eastAsia" w:eastAsia="仿宋_GB2312"/>
                <w:sz w:val="24"/>
                <w:lang w:val="en-US" w:eastAsia="zh-CN"/>
              </w:rPr>
              <w:t>是</w:t>
            </w:r>
          </w:p>
        </w:tc>
        <w:tc>
          <w:tcPr>
            <w:tcW w:w="1970" w:type="dxa"/>
            <w:gridSpan w:val="7"/>
            <w:noWrap w:val="0"/>
            <w:vAlign w:val="center"/>
          </w:tcPr>
          <w:p>
            <w:pPr>
              <w:spacing w:line="500" w:lineRule="exact"/>
              <w:ind w:left="-105" w:leftChars="-50" w:right="-105" w:rightChars="-50"/>
              <w:jc w:val="center"/>
              <w:rPr>
                <w:rFonts w:eastAsia="仿宋_GB2312"/>
                <w:sz w:val="24"/>
              </w:rPr>
            </w:pPr>
            <w:r>
              <w:rPr>
                <w:rFonts w:hint="eastAsia" w:eastAsia="仿宋_GB2312"/>
                <w:sz w:val="24"/>
                <w:lang w:val="en-US" w:eastAsia="zh-CN"/>
              </w:rPr>
              <w:t>委托处置</w:t>
            </w:r>
          </w:p>
        </w:tc>
        <w:tc>
          <w:tcPr>
            <w:tcW w:w="2265" w:type="dxa"/>
            <w:gridSpan w:val="7"/>
            <w:noWrap w:val="0"/>
            <w:vAlign w:val="center"/>
          </w:tcPr>
          <w:p>
            <w:pPr>
              <w:spacing w:line="500" w:lineRule="exact"/>
              <w:ind w:left="-105" w:leftChars="-50" w:right="-105" w:rightChars="-50"/>
              <w:jc w:val="center"/>
              <w:rPr>
                <w:rFonts w:hint="default" w:eastAsia="仿宋_GB2312"/>
                <w:sz w:val="24"/>
                <w:lang w:val="en-US" w:eastAsia="zh-CN"/>
              </w:rPr>
            </w:pPr>
            <w:r>
              <w:rPr>
                <w:rFonts w:hint="eastAsia" w:eastAsia="仿宋_GB2312"/>
                <w:sz w:val="24"/>
                <w:lang w:val="en-US" w:eastAsia="zh-CN"/>
              </w:rPr>
              <w:t>0.006</w:t>
            </w:r>
          </w:p>
        </w:tc>
        <w:tc>
          <w:tcPr>
            <w:tcW w:w="1713" w:type="dxa"/>
            <w:gridSpan w:val="4"/>
            <w:noWrap w:val="0"/>
            <w:vAlign w:val="center"/>
          </w:tcPr>
          <w:p>
            <w:pPr>
              <w:spacing w:line="500" w:lineRule="exact"/>
              <w:ind w:left="-105" w:leftChars="-50" w:right="-105" w:rightChars="-50"/>
              <w:jc w:val="center"/>
              <w:rPr>
                <w:rFonts w:eastAsia="仿宋_GB2312"/>
                <w:sz w:val="24"/>
              </w:rPr>
            </w:pPr>
            <w:r>
              <w:rPr>
                <w:rFonts w:hint="eastAsia" w:eastAsia="仿宋_GB2312"/>
                <w:sz w:val="24"/>
                <w:lang w:val="en-US" w:eastAsia="zh-CN"/>
              </w:rPr>
              <w:t>河北风华环保服务有限公司</w:t>
            </w:r>
          </w:p>
        </w:tc>
        <w:tc>
          <w:tcPr>
            <w:tcW w:w="1696" w:type="dxa"/>
            <w:gridSpan w:val="3"/>
            <w:noWrap w:val="0"/>
            <w:vAlign w:val="center"/>
          </w:tcPr>
          <w:p>
            <w:pPr>
              <w:spacing w:line="500" w:lineRule="exact"/>
              <w:ind w:left="-105" w:leftChars="-50" w:right="-105" w:rightChars="-50"/>
              <w:jc w:val="center"/>
              <w:rPr>
                <w:rFonts w:hint="eastAsia" w:eastAsia="仿宋_GB2312"/>
                <w:sz w:val="24"/>
                <w:lang w:val="en-US" w:eastAsia="zh-CN"/>
              </w:rPr>
            </w:pPr>
            <w:r>
              <w:rPr>
                <w:rFonts w:hint="eastAsia" w:eastAsia="仿宋_GB2312"/>
                <w:sz w:val="24"/>
                <w:lang w:val="en-US" w:eastAsia="zh-CN"/>
              </w:rPr>
              <w:t>否</w:t>
            </w:r>
          </w:p>
        </w:tc>
        <w:tc>
          <w:tcPr>
            <w:tcW w:w="2000" w:type="dxa"/>
            <w:gridSpan w:val="4"/>
            <w:noWrap w:val="0"/>
            <w:vAlign w:val="center"/>
          </w:tcPr>
          <w:p>
            <w:pPr>
              <w:spacing w:line="500" w:lineRule="exact"/>
              <w:ind w:left="-105" w:leftChars="-50" w:right="-105" w:rightChar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86" w:type="dxa"/>
            <w:gridSpan w:val="3"/>
            <w:noWrap w:val="0"/>
            <w:vAlign w:val="center"/>
          </w:tcPr>
          <w:p>
            <w:pPr>
              <w:spacing w:line="500" w:lineRule="exact"/>
              <w:ind w:left="-105" w:leftChars="-50" w:right="-105" w:rightChars="-50"/>
              <w:jc w:val="center"/>
              <w:rPr>
                <w:rFonts w:hint="eastAsia" w:eastAsia="仿宋_GB2312"/>
                <w:sz w:val="24"/>
                <w:lang w:val="en-US" w:eastAsia="zh-CN"/>
              </w:rPr>
            </w:pPr>
            <w:r>
              <w:rPr>
                <w:rFonts w:hint="eastAsia" w:eastAsia="仿宋_GB2312"/>
                <w:sz w:val="24"/>
                <w:lang w:val="en-US" w:eastAsia="zh-CN"/>
              </w:rPr>
              <w:t>废活性炭</w:t>
            </w:r>
          </w:p>
        </w:tc>
        <w:tc>
          <w:tcPr>
            <w:tcW w:w="1879" w:type="dxa"/>
            <w:gridSpan w:val="5"/>
            <w:noWrap w:val="0"/>
            <w:vAlign w:val="center"/>
          </w:tcPr>
          <w:p>
            <w:pPr>
              <w:spacing w:line="500" w:lineRule="exact"/>
              <w:ind w:left="-105" w:leftChars="-50" w:right="-105" w:rightChars="-50"/>
              <w:jc w:val="center"/>
              <w:rPr>
                <w:rFonts w:hint="eastAsia" w:eastAsia="仿宋_GB2312"/>
                <w:sz w:val="24"/>
                <w:lang w:val="en-US" w:eastAsia="zh-CN"/>
              </w:rPr>
            </w:pPr>
            <w:r>
              <w:rPr>
                <w:rFonts w:hint="eastAsia" w:eastAsia="仿宋_GB2312"/>
                <w:sz w:val="24"/>
                <w:lang w:val="en-US" w:eastAsia="zh-CN"/>
              </w:rPr>
              <w:t>是</w:t>
            </w:r>
          </w:p>
        </w:tc>
        <w:tc>
          <w:tcPr>
            <w:tcW w:w="1970" w:type="dxa"/>
            <w:gridSpan w:val="7"/>
            <w:noWrap w:val="0"/>
            <w:vAlign w:val="center"/>
          </w:tcPr>
          <w:p>
            <w:pPr>
              <w:spacing w:line="500" w:lineRule="exact"/>
              <w:ind w:left="-105" w:leftChars="-50" w:right="-105" w:rightChars="-50"/>
              <w:jc w:val="center"/>
              <w:rPr>
                <w:rFonts w:eastAsia="仿宋_GB2312"/>
                <w:sz w:val="24"/>
              </w:rPr>
            </w:pPr>
            <w:r>
              <w:rPr>
                <w:rFonts w:hint="eastAsia" w:eastAsia="仿宋_GB2312"/>
                <w:sz w:val="24"/>
                <w:lang w:val="en-US" w:eastAsia="zh-CN"/>
              </w:rPr>
              <w:t>委托处置</w:t>
            </w:r>
          </w:p>
        </w:tc>
        <w:tc>
          <w:tcPr>
            <w:tcW w:w="2265" w:type="dxa"/>
            <w:gridSpan w:val="7"/>
            <w:noWrap w:val="0"/>
            <w:vAlign w:val="center"/>
          </w:tcPr>
          <w:p>
            <w:pPr>
              <w:spacing w:line="500" w:lineRule="exact"/>
              <w:ind w:left="-105" w:leftChars="-50" w:right="-105" w:rightChars="-50"/>
              <w:jc w:val="center"/>
              <w:rPr>
                <w:rFonts w:hint="eastAsia" w:eastAsia="仿宋_GB2312"/>
                <w:sz w:val="24"/>
                <w:lang w:val="en-US" w:eastAsia="zh-CN"/>
              </w:rPr>
            </w:pPr>
            <w:r>
              <w:rPr>
                <w:rFonts w:hint="eastAsia" w:eastAsia="仿宋_GB2312"/>
                <w:sz w:val="24"/>
                <w:lang w:val="en-US" w:eastAsia="zh-CN"/>
              </w:rPr>
              <w:t>0</w:t>
            </w:r>
          </w:p>
        </w:tc>
        <w:tc>
          <w:tcPr>
            <w:tcW w:w="1713" w:type="dxa"/>
            <w:gridSpan w:val="4"/>
            <w:noWrap w:val="0"/>
            <w:vAlign w:val="center"/>
          </w:tcPr>
          <w:p>
            <w:pPr>
              <w:spacing w:line="500" w:lineRule="exact"/>
              <w:ind w:left="-105" w:leftChars="-50" w:right="-105" w:rightChars="-50"/>
              <w:jc w:val="center"/>
              <w:rPr>
                <w:rFonts w:eastAsia="仿宋_GB2312"/>
                <w:sz w:val="24"/>
              </w:rPr>
            </w:pPr>
            <w:r>
              <w:rPr>
                <w:rFonts w:hint="eastAsia" w:eastAsia="仿宋_GB2312"/>
                <w:sz w:val="24"/>
                <w:lang w:val="en-US" w:eastAsia="zh-CN"/>
              </w:rPr>
              <w:t>河北风华环保服务有限公司</w:t>
            </w:r>
          </w:p>
        </w:tc>
        <w:tc>
          <w:tcPr>
            <w:tcW w:w="1696" w:type="dxa"/>
            <w:gridSpan w:val="3"/>
            <w:noWrap w:val="0"/>
            <w:vAlign w:val="center"/>
          </w:tcPr>
          <w:p>
            <w:pPr>
              <w:spacing w:line="500" w:lineRule="exact"/>
              <w:ind w:left="-105" w:leftChars="-50" w:right="-105" w:rightChars="-50"/>
              <w:jc w:val="center"/>
              <w:rPr>
                <w:rFonts w:hint="eastAsia" w:eastAsia="仿宋_GB2312"/>
                <w:sz w:val="24"/>
                <w:lang w:val="en-US" w:eastAsia="zh-CN"/>
              </w:rPr>
            </w:pPr>
            <w:r>
              <w:rPr>
                <w:rFonts w:hint="eastAsia" w:eastAsia="仿宋_GB2312"/>
                <w:sz w:val="24"/>
                <w:lang w:val="en-US" w:eastAsia="zh-CN"/>
              </w:rPr>
              <w:t>否</w:t>
            </w:r>
          </w:p>
        </w:tc>
        <w:tc>
          <w:tcPr>
            <w:tcW w:w="2000" w:type="dxa"/>
            <w:gridSpan w:val="4"/>
            <w:noWrap w:val="0"/>
            <w:vAlign w:val="center"/>
          </w:tcPr>
          <w:p>
            <w:pPr>
              <w:spacing w:line="500" w:lineRule="exact"/>
              <w:ind w:left="-105" w:leftChars="-50" w:right="-105" w:rightChar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86" w:type="dxa"/>
            <w:gridSpan w:val="3"/>
            <w:noWrap w:val="0"/>
            <w:vAlign w:val="center"/>
          </w:tcPr>
          <w:p>
            <w:pPr>
              <w:spacing w:line="500" w:lineRule="exact"/>
              <w:ind w:left="-105" w:leftChars="-50" w:right="-105" w:rightChars="-50"/>
              <w:jc w:val="center"/>
              <w:rPr>
                <w:rFonts w:hint="eastAsia" w:eastAsia="仿宋_GB2312"/>
                <w:sz w:val="24"/>
                <w:lang w:val="en-US" w:eastAsia="zh-CN"/>
              </w:rPr>
            </w:pPr>
            <w:r>
              <w:rPr>
                <w:rFonts w:hint="eastAsia" w:eastAsia="仿宋_GB2312"/>
                <w:sz w:val="24"/>
                <w:lang w:val="en-US" w:eastAsia="zh-CN"/>
              </w:rPr>
              <w:t>废树脂</w:t>
            </w:r>
          </w:p>
        </w:tc>
        <w:tc>
          <w:tcPr>
            <w:tcW w:w="1879" w:type="dxa"/>
            <w:gridSpan w:val="5"/>
            <w:noWrap w:val="0"/>
            <w:vAlign w:val="center"/>
          </w:tcPr>
          <w:p>
            <w:pPr>
              <w:spacing w:line="500" w:lineRule="exact"/>
              <w:ind w:left="-105" w:leftChars="-50" w:right="-105" w:rightChars="-50"/>
              <w:jc w:val="center"/>
              <w:rPr>
                <w:rFonts w:hint="eastAsia" w:eastAsia="仿宋_GB2312"/>
                <w:sz w:val="24"/>
                <w:lang w:val="en-US" w:eastAsia="zh-CN"/>
              </w:rPr>
            </w:pPr>
            <w:r>
              <w:rPr>
                <w:rFonts w:hint="eastAsia" w:eastAsia="仿宋_GB2312"/>
                <w:sz w:val="24"/>
                <w:lang w:val="en-US" w:eastAsia="zh-CN"/>
              </w:rPr>
              <w:t>是</w:t>
            </w:r>
          </w:p>
        </w:tc>
        <w:tc>
          <w:tcPr>
            <w:tcW w:w="1970" w:type="dxa"/>
            <w:gridSpan w:val="7"/>
            <w:noWrap w:val="0"/>
            <w:vAlign w:val="center"/>
          </w:tcPr>
          <w:p>
            <w:pPr>
              <w:spacing w:line="500" w:lineRule="exact"/>
              <w:ind w:left="-105" w:leftChars="-50" w:right="-105" w:rightChars="-50"/>
              <w:jc w:val="center"/>
              <w:rPr>
                <w:rFonts w:eastAsia="仿宋_GB2312"/>
                <w:sz w:val="24"/>
              </w:rPr>
            </w:pPr>
            <w:r>
              <w:rPr>
                <w:rFonts w:hint="eastAsia" w:eastAsia="仿宋_GB2312"/>
                <w:sz w:val="24"/>
                <w:lang w:val="en-US" w:eastAsia="zh-CN"/>
              </w:rPr>
              <w:t>委托处置</w:t>
            </w:r>
          </w:p>
        </w:tc>
        <w:tc>
          <w:tcPr>
            <w:tcW w:w="2265" w:type="dxa"/>
            <w:gridSpan w:val="7"/>
            <w:noWrap w:val="0"/>
            <w:vAlign w:val="center"/>
          </w:tcPr>
          <w:p>
            <w:pPr>
              <w:spacing w:line="500" w:lineRule="exact"/>
              <w:ind w:left="-105" w:leftChars="-50" w:right="-105" w:rightChars="-50"/>
              <w:jc w:val="center"/>
              <w:rPr>
                <w:rFonts w:hint="eastAsia" w:eastAsia="仿宋_GB2312"/>
                <w:sz w:val="24"/>
                <w:lang w:val="en-US" w:eastAsia="zh-CN"/>
              </w:rPr>
            </w:pPr>
            <w:r>
              <w:rPr>
                <w:rFonts w:hint="eastAsia" w:eastAsia="仿宋_GB2312"/>
                <w:sz w:val="24"/>
                <w:lang w:val="en-US" w:eastAsia="zh-CN"/>
              </w:rPr>
              <w:t>0</w:t>
            </w:r>
          </w:p>
        </w:tc>
        <w:tc>
          <w:tcPr>
            <w:tcW w:w="1713" w:type="dxa"/>
            <w:gridSpan w:val="4"/>
            <w:noWrap w:val="0"/>
            <w:vAlign w:val="center"/>
          </w:tcPr>
          <w:p>
            <w:pPr>
              <w:spacing w:line="500" w:lineRule="exact"/>
              <w:ind w:left="-105" w:leftChars="-50" w:right="-105" w:rightChars="-50"/>
              <w:jc w:val="center"/>
              <w:rPr>
                <w:rFonts w:eastAsia="仿宋_GB2312"/>
                <w:sz w:val="24"/>
              </w:rPr>
            </w:pPr>
            <w:r>
              <w:rPr>
                <w:rFonts w:hint="eastAsia" w:eastAsia="仿宋_GB2312"/>
                <w:sz w:val="24"/>
                <w:lang w:val="en-US" w:eastAsia="zh-CN"/>
              </w:rPr>
              <w:t>河北风华环保服务有限公司</w:t>
            </w:r>
          </w:p>
        </w:tc>
        <w:tc>
          <w:tcPr>
            <w:tcW w:w="1696" w:type="dxa"/>
            <w:gridSpan w:val="3"/>
            <w:noWrap w:val="0"/>
            <w:vAlign w:val="center"/>
          </w:tcPr>
          <w:p>
            <w:pPr>
              <w:spacing w:line="500" w:lineRule="exact"/>
              <w:ind w:left="-105" w:leftChars="-50" w:right="-105" w:rightChars="-50"/>
              <w:jc w:val="center"/>
              <w:rPr>
                <w:rFonts w:hint="eastAsia" w:eastAsia="仿宋_GB2312"/>
                <w:sz w:val="24"/>
                <w:lang w:val="en-US" w:eastAsia="zh-CN"/>
              </w:rPr>
            </w:pPr>
            <w:r>
              <w:rPr>
                <w:rFonts w:hint="eastAsia" w:eastAsia="仿宋_GB2312"/>
                <w:sz w:val="24"/>
                <w:lang w:val="en-US" w:eastAsia="zh-CN"/>
              </w:rPr>
              <w:t>否</w:t>
            </w:r>
          </w:p>
        </w:tc>
        <w:tc>
          <w:tcPr>
            <w:tcW w:w="2000" w:type="dxa"/>
            <w:gridSpan w:val="4"/>
            <w:noWrap w:val="0"/>
            <w:vAlign w:val="center"/>
          </w:tcPr>
          <w:p>
            <w:pPr>
              <w:spacing w:line="500" w:lineRule="exact"/>
              <w:ind w:left="-105" w:leftChars="-50" w:right="-105" w:rightChar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86" w:type="dxa"/>
            <w:gridSpan w:val="3"/>
            <w:noWrap w:val="0"/>
            <w:vAlign w:val="center"/>
          </w:tcPr>
          <w:p>
            <w:pPr>
              <w:spacing w:line="500" w:lineRule="exact"/>
              <w:ind w:left="-105" w:leftChars="-50" w:right="-105" w:rightChars="-50"/>
              <w:jc w:val="center"/>
              <w:rPr>
                <w:rFonts w:hint="eastAsia" w:eastAsia="仿宋_GB2312"/>
                <w:sz w:val="24"/>
                <w:lang w:val="en-US" w:eastAsia="zh-CN"/>
              </w:rPr>
            </w:pPr>
            <w:r>
              <w:rPr>
                <w:rFonts w:hint="eastAsia" w:eastAsia="仿宋_GB2312"/>
                <w:sz w:val="24"/>
                <w:lang w:val="en-US" w:eastAsia="zh-CN"/>
              </w:rPr>
              <w:t>废酸</w:t>
            </w:r>
          </w:p>
        </w:tc>
        <w:tc>
          <w:tcPr>
            <w:tcW w:w="1879" w:type="dxa"/>
            <w:gridSpan w:val="5"/>
            <w:noWrap w:val="0"/>
            <w:vAlign w:val="center"/>
          </w:tcPr>
          <w:p>
            <w:pPr>
              <w:spacing w:line="500" w:lineRule="exact"/>
              <w:ind w:left="-105" w:leftChars="-50" w:right="-105" w:rightChars="-50"/>
              <w:jc w:val="center"/>
              <w:rPr>
                <w:rFonts w:hint="eastAsia" w:eastAsia="仿宋_GB2312"/>
                <w:sz w:val="24"/>
                <w:lang w:val="en-US" w:eastAsia="zh-CN"/>
              </w:rPr>
            </w:pPr>
            <w:r>
              <w:rPr>
                <w:rFonts w:hint="eastAsia" w:eastAsia="仿宋_GB2312"/>
                <w:sz w:val="24"/>
                <w:lang w:val="en-US" w:eastAsia="zh-CN"/>
              </w:rPr>
              <w:t>是</w:t>
            </w:r>
          </w:p>
        </w:tc>
        <w:tc>
          <w:tcPr>
            <w:tcW w:w="1970" w:type="dxa"/>
            <w:gridSpan w:val="7"/>
            <w:noWrap w:val="0"/>
            <w:vAlign w:val="center"/>
          </w:tcPr>
          <w:p>
            <w:pPr>
              <w:spacing w:line="500" w:lineRule="exact"/>
              <w:ind w:left="-105" w:leftChars="-50" w:right="-105" w:rightChars="-50"/>
              <w:jc w:val="center"/>
              <w:rPr>
                <w:rFonts w:eastAsia="仿宋_GB2312"/>
                <w:sz w:val="24"/>
              </w:rPr>
            </w:pPr>
            <w:r>
              <w:rPr>
                <w:rFonts w:hint="eastAsia" w:eastAsia="仿宋_GB2312"/>
                <w:sz w:val="24"/>
                <w:lang w:val="en-US" w:eastAsia="zh-CN"/>
              </w:rPr>
              <w:t>委托处置</w:t>
            </w:r>
          </w:p>
        </w:tc>
        <w:tc>
          <w:tcPr>
            <w:tcW w:w="2265" w:type="dxa"/>
            <w:gridSpan w:val="7"/>
            <w:noWrap w:val="0"/>
            <w:vAlign w:val="center"/>
          </w:tcPr>
          <w:p>
            <w:pPr>
              <w:spacing w:line="500" w:lineRule="exact"/>
              <w:ind w:left="-105" w:leftChars="-50" w:right="-105" w:rightChars="-50"/>
              <w:jc w:val="center"/>
              <w:rPr>
                <w:rFonts w:hint="default" w:eastAsia="仿宋_GB2312"/>
                <w:sz w:val="24"/>
                <w:lang w:val="en-US" w:eastAsia="zh-CN"/>
              </w:rPr>
            </w:pPr>
            <w:r>
              <w:rPr>
                <w:rFonts w:hint="eastAsia" w:eastAsia="仿宋_GB2312"/>
                <w:sz w:val="24"/>
                <w:lang w:val="en-US" w:eastAsia="zh-CN"/>
              </w:rPr>
              <w:t>0.0442</w:t>
            </w:r>
          </w:p>
        </w:tc>
        <w:tc>
          <w:tcPr>
            <w:tcW w:w="1713" w:type="dxa"/>
            <w:gridSpan w:val="4"/>
            <w:noWrap w:val="0"/>
            <w:vAlign w:val="center"/>
          </w:tcPr>
          <w:p>
            <w:pPr>
              <w:spacing w:line="500" w:lineRule="exact"/>
              <w:ind w:left="-105" w:leftChars="-50" w:right="-105" w:rightChars="-50"/>
              <w:jc w:val="center"/>
              <w:rPr>
                <w:rFonts w:eastAsia="仿宋_GB2312"/>
                <w:sz w:val="24"/>
              </w:rPr>
            </w:pPr>
            <w:r>
              <w:rPr>
                <w:rFonts w:hint="eastAsia" w:eastAsia="仿宋_GB2312"/>
                <w:sz w:val="24"/>
                <w:lang w:val="en-US" w:eastAsia="zh-CN"/>
              </w:rPr>
              <w:t>河北风华环保服务有限公司</w:t>
            </w:r>
          </w:p>
        </w:tc>
        <w:tc>
          <w:tcPr>
            <w:tcW w:w="1696" w:type="dxa"/>
            <w:gridSpan w:val="3"/>
            <w:noWrap w:val="0"/>
            <w:vAlign w:val="center"/>
          </w:tcPr>
          <w:p>
            <w:pPr>
              <w:spacing w:line="500" w:lineRule="exact"/>
              <w:ind w:left="-105" w:leftChars="-50" w:right="-105" w:rightChars="-50"/>
              <w:jc w:val="center"/>
              <w:rPr>
                <w:rFonts w:hint="eastAsia" w:eastAsia="仿宋_GB2312"/>
                <w:sz w:val="24"/>
                <w:lang w:val="en-US" w:eastAsia="zh-CN"/>
              </w:rPr>
            </w:pPr>
            <w:r>
              <w:rPr>
                <w:rFonts w:hint="eastAsia" w:eastAsia="仿宋_GB2312"/>
                <w:sz w:val="24"/>
                <w:lang w:val="en-US" w:eastAsia="zh-CN"/>
              </w:rPr>
              <w:t>否</w:t>
            </w:r>
          </w:p>
        </w:tc>
        <w:tc>
          <w:tcPr>
            <w:tcW w:w="2000" w:type="dxa"/>
            <w:gridSpan w:val="4"/>
            <w:noWrap w:val="0"/>
            <w:vAlign w:val="center"/>
          </w:tcPr>
          <w:p>
            <w:pPr>
              <w:spacing w:line="500" w:lineRule="exact"/>
              <w:ind w:left="-105" w:leftChars="-50" w:right="-105" w:rightChar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86" w:type="dxa"/>
            <w:gridSpan w:val="3"/>
            <w:noWrap w:val="0"/>
            <w:vAlign w:val="center"/>
          </w:tcPr>
          <w:p>
            <w:pPr>
              <w:spacing w:line="500" w:lineRule="exact"/>
              <w:ind w:left="-105" w:leftChars="-50" w:right="-105" w:rightChars="-50"/>
              <w:jc w:val="center"/>
              <w:rPr>
                <w:rFonts w:hint="default" w:eastAsia="仿宋_GB2312"/>
                <w:sz w:val="24"/>
                <w:lang w:val="en-US" w:eastAsia="zh-CN"/>
              </w:rPr>
            </w:pPr>
            <w:r>
              <w:rPr>
                <w:rFonts w:hint="eastAsia" w:eastAsia="仿宋_GB2312"/>
                <w:sz w:val="24"/>
                <w:lang w:val="en-US" w:eastAsia="zh-CN"/>
              </w:rPr>
              <w:t>循环塔废水</w:t>
            </w:r>
          </w:p>
        </w:tc>
        <w:tc>
          <w:tcPr>
            <w:tcW w:w="1879" w:type="dxa"/>
            <w:gridSpan w:val="5"/>
            <w:noWrap w:val="0"/>
            <w:vAlign w:val="center"/>
          </w:tcPr>
          <w:p>
            <w:pPr>
              <w:spacing w:line="500" w:lineRule="exact"/>
              <w:ind w:left="-105" w:leftChars="-50" w:right="-105" w:rightChars="-50"/>
              <w:jc w:val="center"/>
              <w:rPr>
                <w:rFonts w:hint="eastAsia" w:eastAsia="仿宋_GB2312"/>
                <w:sz w:val="24"/>
                <w:lang w:val="en-US" w:eastAsia="zh-CN"/>
              </w:rPr>
            </w:pPr>
            <w:r>
              <w:rPr>
                <w:rFonts w:hint="eastAsia" w:eastAsia="仿宋_GB2312"/>
                <w:sz w:val="24"/>
                <w:lang w:val="en-US" w:eastAsia="zh-CN"/>
              </w:rPr>
              <w:t>是</w:t>
            </w:r>
          </w:p>
        </w:tc>
        <w:tc>
          <w:tcPr>
            <w:tcW w:w="1970" w:type="dxa"/>
            <w:gridSpan w:val="7"/>
            <w:noWrap w:val="0"/>
            <w:vAlign w:val="center"/>
          </w:tcPr>
          <w:p>
            <w:pPr>
              <w:spacing w:line="500" w:lineRule="exact"/>
              <w:ind w:left="-105" w:leftChars="-50" w:right="-105" w:rightChars="-50"/>
              <w:jc w:val="center"/>
              <w:rPr>
                <w:rFonts w:eastAsia="仿宋_GB2312"/>
                <w:sz w:val="24"/>
              </w:rPr>
            </w:pPr>
            <w:r>
              <w:rPr>
                <w:rFonts w:hint="eastAsia" w:eastAsia="仿宋_GB2312"/>
                <w:sz w:val="24"/>
                <w:lang w:val="en-US" w:eastAsia="zh-CN"/>
              </w:rPr>
              <w:t>委托处置</w:t>
            </w:r>
          </w:p>
        </w:tc>
        <w:tc>
          <w:tcPr>
            <w:tcW w:w="2265" w:type="dxa"/>
            <w:gridSpan w:val="7"/>
            <w:noWrap w:val="0"/>
            <w:vAlign w:val="center"/>
          </w:tcPr>
          <w:p>
            <w:pPr>
              <w:spacing w:line="500" w:lineRule="exact"/>
              <w:ind w:left="-105" w:leftChars="-50" w:right="-105" w:rightChars="-50"/>
              <w:jc w:val="center"/>
              <w:rPr>
                <w:rFonts w:hint="eastAsia" w:eastAsia="仿宋_GB2312"/>
                <w:sz w:val="24"/>
                <w:lang w:val="en-US" w:eastAsia="zh-CN"/>
              </w:rPr>
            </w:pPr>
            <w:r>
              <w:rPr>
                <w:rFonts w:hint="eastAsia" w:eastAsia="仿宋_GB2312"/>
                <w:sz w:val="24"/>
                <w:lang w:val="en-US" w:eastAsia="zh-CN"/>
              </w:rPr>
              <w:t>0</w:t>
            </w:r>
          </w:p>
        </w:tc>
        <w:tc>
          <w:tcPr>
            <w:tcW w:w="1713" w:type="dxa"/>
            <w:gridSpan w:val="4"/>
            <w:noWrap w:val="0"/>
            <w:vAlign w:val="center"/>
          </w:tcPr>
          <w:p>
            <w:pPr>
              <w:spacing w:line="500" w:lineRule="exact"/>
              <w:ind w:left="-105" w:leftChars="-50" w:right="-105" w:rightChars="-50"/>
              <w:jc w:val="center"/>
              <w:rPr>
                <w:rFonts w:eastAsia="仿宋_GB2312"/>
                <w:sz w:val="24"/>
              </w:rPr>
            </w:pPr>
            <w:r>
              <w:rPr>
                <w:rFonts w:hint="eastAsia" w:eastAsia="仿宋_GB2312"/>
                <w:sz w:val="24"/>
                <w:lang w:val="en-US" w:eastAsia="zh-CN"/>
              </w:rPr>
              <w:t>河北风华环保服务有限公司</w:t>
            </w:r>
          </w:p>
        </w:tc>
        <w:tc>
          <w:tcPr>
            <w:tcW w:w="1696" w:type="dxa"/>
            <w:gridSpan w:val="3"/>
            <w:noWrap w:val="0"/>
            <w:vAlign w:val="center"/>
          </w:tcPr>
          <w:p>
            <w:pPr>
              <w:spacing w:line="500" w:lineRule="exact"/>
              <w:ind w:left="-105" w:leftChars="-50" w:right="-105" w:rightChars="-50"/>
              <w:jc w:val="center"/>
              <w:rPr>
                <w:rFonts w:hint="eastAsia" w:eastAsia="仿宋_GB2312"/>
                <w:sz w:val="24"/>
                <w:lang w:val="en-US" w:eastAsia="zh-CN"/>
              </w:rPr>
            </w:pPr>
            <w:r>
              <w:rPr>
                <w:rFonts w:hint="eastAsia" w:eastAsia="仿宋_GB2312"/>
                <w:sz w:val="24"/>
                <w:lang w:val="en-US" w:eastAsia="zh-CN"/>
              </w:rPr>
              <w:t>否</w:t>
            </w:r>
          </w:p>
        </w:tc>
        <w:tc>
          <w:tcPr>
            <w:tcW w:w="2000" w:type="dxa"/>
            <w:gridSpan w:val="4"/>
            <w:noWrap w:val="0"/>
            <w:vAlign w:val="center"/>
          </w:tcPr>
          <w:p>
            <w:pPr>
              <w:spacing w:line="500" w:lineRule="exact"/>
              <w:ind w:left="-105" w:leftChars="-50" w:right="-105" w:rightChar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13309" w:type="dxa"/>
            <w:gridSpan w:val="33"/>
            <w:noWrap w:val="0"/>
            <w:vAlign w:val="center"/>
          </w:tcPr>
          <w:p>
            <w:pPr>
              <w:spacing w:line="500" w:lineRule="exact"/>
              <w:jc w:val="center"/>
              <w:rPr>
                <w:rFonts w:eastAsia="仿宋_GB2312"/>
                <w:b/>
                <w:sz w:val="28"/>
                <w:szCs w:val="28"/>
              </w:rPr>
            </w:pPr>
            <w:r>
              <w:rPr>
                <w:rFonts w:hint="eastAsia" w:eastAsia="仿宋_GB2312"/>
                <w:b/>
                <w:sz w:val="28"/>
                <w:szCs w:val="28"/>
              </w:rPr>
              <w:t>噪声（</w:t>
            </w:r>
            <w:r>
              <w:rPr>
                <w:rFonts w:hint="eastAsia" w:eastAsia="仿宋_GB2312"/>
                <w:b/>
                <w:color w:val="000000"/>
                <w:sz w:val="28"/>
                <w:szCs w:val="28"/>
              </w:rPr>
              <w:t>周边有噪声敏感建筑物的单位应当公开，其他单位自愿公开）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86" w:type="dxa"/>
            <w:gridSpan w:val="3"/>
            <w:vMerge w:val="restart"/>
            <w:noWrap w:val="0"/>
            <w:vAlign w:val="center"/>
          </w:tcPr>
          <w:p>
            <w:pPr>
              <w:spacing w:line="500" w:lineRule="exact"/>
              <w:jc w:val="center"/>
              <w:rPr>
                <w:rFonts w:eastAsia="仿宋_GB2312"/>
                <w:color w:val="000000"/>
                <w:sz w:val="24"/>
              </w:rPr>
            </w:pPr>
            <w:r>
              <w:rPr>
                <w:rFonts w:hint="eastAsia" w:eastAsia="仿宋_GB2312"/>
                <w:color w:val="000000"/>
                <w:sz w:val="24"/>
              </w:rPr>
              <w:t>厂界位置</w:t>
            </w:r>
          </w:p>
        </w:tc>
        <w:tc>
          <w:tcPr>
            <w:tcW w:w="3812" w:type="dxa"/>
            <w:gridSpan w:val="11"/>
            <w:noWrap w:val="0"/>
            <w:vAlign w:val="center"/>
          </w:tcPr>
          <w:p>
            <w:pPr>
              <w:spacing w:line="500" w:lineRule="exact"/>
              <w:jc w:val="center"/>
              <w:rPr>
                <w:rFonts w:eastAsia="仿宋_GB2312"/>
                <w:color w:val="000000"/>
                <w:sz w:val="24"/>
              </w:rPr>
            </w:pPr>
            <w:r>
              <w:rPr>
                <w:rFonts w:hint="eastAsia" w:eastAsia="仿宋_GB2312"/>
                <w:color w:val="000000"/>
                <w:sz w:val="24"/>
              </w:rPr>
              <w:t>噪声值（</w:t>
            </w:r>
            <w:r>
              <w:rPr>
                <w:rFonts w:eastAsia="仿宋_GB2312"/>
                <w:color w:val="000000"/>
                <w:sz w:val="24"/>
              </w:rPr>
              <w:t>dB</w:t>
            </w:r>
            <w:r>
              <w:rPr>
                <w:rFonts w:hint="eastAsia" w:eastAsia="仿宋_GB2312"/>
                <w:color w:val="000000"/>
                <w:sz w:val="24"/>
              </w:rPr>
              <w:t>）</w:t>
            </w:r>
          </w:p>
        </w:tc>
        <w:tc>
          <w:tcPr>
            <w:tcW w:w="2308" w:type="dxa"/>
            <w:gridSpan w:val="9"/>
            <w:noWrap w:val="0"/>
            <w:vAlign w:val="center"/>
          </w:tcPr>
          <w:p>
            <w:pPr>
              <w:spacing w:line="500" w:lineRule="exact"/>
              <w:jc w:val="center"/>
              <w:rPr>
                <w:rFonts w:eastAsia="仿宋_GB2312"/>
                <w:color w:val="000000"/>
                <w:sz w:val="24"/>
              </w:rPr>
            </w:pPr>
            <w:r>
              <w:rPr>
                <w:rFonts w:hint="eastAsia" w:eastAsia="仿宋_GB2312"/>
                <w:color w:val="000000"/>
                <w:sz w:val="24"/>
              </w:rPr>
              <w:t>执行的厂界噪声排放标准限值（</w:t>
            </w:r>
            <w:r>
              <w:rPr>
                <w:rFonts w:eastAsia="仿宋_GB2312"/>
                <w:color w:val="000000"/>
                <w:sz w:val="24"/>
              </w:rPr>
              <w:t>dB</w:t>
            </w:r>
            <w:r>
              <w:rPr>
                <w:rFonts w:hint="eastAsia" w:eastAsia="仿宋_GB2312"/>
                <w:color w:val="000000"/>
                <w:sz w:val="24"/>
              </w:rPr>
              <w:t>）</w:t>
            </w:r>
          </w:p>
        </w:tc>
        <w:tc>
          <w:tcPr>
            <w:tcW w:w="1707" w:type="dxa"/>
            <w:gridSpan w:val="3"/>
            <w:vMerge w:val="restart"/>
            <w:noWrap w:val="0"/>
            <w:vAlign w:val="center"/>
          </w:tcPr>
          <w:p>
            <w:pPr>
              <w:spacing w:line="500" w:lineRule="exact"/>
              <w:jc w:val="center"/>
              <w:rPr>
                <w:rFonts w:eastAsia="仿宋_GB2312"/>
                <w:color w:val="000000"/>
                <w:sz w:val="24"/>
              </w:rPr>
            </w:pPr>
            <w:r>
              <w:rPr>
                <w:rFonts w:hint="eastAsia" w:eastAsia="仿宋_GB2312"/>
                <w:color w:val="000000"/>
                <w:sz w:val="24"/>
              </w:rPr>
              <w:t>超标</w:t>
            </w:r>
          </w:p>
          <w:p>
            <w:pPr>
              <w:spacing w:line="500" w:lineRule="exact"/>
              <w:jc w:val="center"/>
              <w:rPr>
                <w:rFonts w:eastAsia="仿宋_GB2312"/>
                <w:color w:val="000000"/>
                <w:sz w:val="24"/>
              </w:rPr>
            </w:pPr>
            <w:r>
              <w:rPr>
                <w:rFonts w:hint="eastAsia" w:eastAsia="仿宋_GB2312"/>
                <w:color w:val="000000"/>
                <w:sz w:val="24"/>
              </w:rPr>
              <w:t>情况</w:t>
            </w:r>
          </w:p>
        </w:tc>
        <w:tc>
          <w:tcPr>
            <w:tcW w:w="1696" w:type="dxa"/>
            <w:gridSpan w:val="3"/>
            <w:vMerge w:val="restart"/>
            <w:noWrap w:val="0"/>
            <w:vAlign w:val="center"/>
          </w:tcPr>
          <w:p>
            <w:pPr>
              <w:spacing w:line="500" w:lineRule="exact"/>
              <w:jc w:val="center"/>
              <w:rPr>
                <w:rFonts w:eastAsia="仿宋_GB2312"/>
                <w:color w:val="000000"/>
                <w:sz w:val="24"/>
              </w:rPr>
            </w:pPr>
            <w:r>
              <w:rPr>
                <w:rFonts w:hint="eastAsia" w:eastAsia="仿宋_GB2312"/>
                <w:color w:val="000000"/>
                <w:sz w:val="24"/>
              </w:rPr>
              <w:t>是否需要缴纳排污费（税）</w:t>
            </w:r>
          </w:p>
        </w:tc>
        <w:tc>
          <w:tcPr>
            <w:tcW w:w="2000" w:type="dxa"/>
            <w:gridSpan w:val="4"/>
            <w:vMerge w:val="restart"/>
            <w:noWrap w:val="0"/>
            <w:vAlign w:val="center"/>
          </w:tcPr>
          <w:p>
            <w:pPr>
              <w:spacing w:line="500" w:lineRule="exact"/>
              <w:jc w:val="center"/>
              <w:rPr>
                <w:rFonts w:eastAsia="仿宋_GB2312"/>
                <w:color w:val="000000"/>
                <w:sz w:val="24"/>
              </w:rPr>
            </w:pPr>
            <w:r>
              <w:rPr>
                <w:rFonts w:hint="eastAsia" w:eastAsia="仿宋_GB2312"/>
                <w:color w:val="000000"/>
                <w:sz w:val="24"/>
              </w:rPr>
              <w:t>缴纳情况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86" w:type="dxa"/>
            <w:gridSpan w:val="3"/>
            <w:vMerge w:val="continue"/>
            <w:noWrap w:val="0"/>
            <w:vAlign w:val="center"/>
          </w:tcPr>
          <w:p>
            <w:pPr>
              <w:widowControl/>
              <w:jc w:val="left"/>
              <w:rPr>
                <w:rFonts w:eastAsia="仿宋_GB2312"/>
                <w:color w:val="000000"/>
                <w:sz w:val="24"/>
              </w:rPr>
            </w:pPr>
          </w:p>
        </w:tc>
        <w:tc>
          <w:tcPr>
            <w:tcW w:w="1928" w:type="dxa"/>
            <w:gridSpan w:val="6"/>
            <w:noWrap w:val="0"/>
            <w:vAlign w:val="center"/>
          </w:tcPr>
          <w:p>
            <w:pPr>
              <w:spacing w:line="500" w:lineRule="exact"/>
              <w:jc w:val="center"/>
              <w:rPr>
                <w:rFonts w:eastAsia="仿宋_GB2312"/>
                <w:color w:val="000000"/>
                <w:sz w:val="24"/>
              </w:rPr>
            </w:pPr>
            <w:r>
              <w:rPr>
                <w:rFonts w:hint="eastAsia" w:eastAsia="仿宋_GB2312"/>
                <w:color w:val="000000"/>
                <w:sz w:val="24"/>
              </w:rPr>
              <w:t>昼间</w:t>
            </w:r>
          </w:p>
        </w:tc>
        <w:tc>
          <w:tcPr>
            <w:tcW w:w="1884" w:type="dxa"/>
            <w:gridSpan w:val="5"/>
            <w:noWrap w:val="0"/>
            <w:vAlign w:val="center"/>
          </w:tcPr>
          <w:p>
            <w:pPr>
              <w:spacing w:line="500" w:lineRule="exact"/>
              <w:jc w:val="center"/>
              <w:rPr>
                <w:rFonts w:eastAsia="仿宋_GB2312"/>
                <w:color w:val="000000"/>
                <w:sz w:val="24"/>
              </w:rPr>
            </w:pPr>
            <w:r>
              <w:rPr>
                <w:rFonts w:hint="eastAsia" w:eastAsia="仿宋_GB2312"/>
                <w:color w:val="000000"/>
                <w:sz w:val="24"/>
              </w:rPr>
              <w:t>夜间</w:t>
            </w:r>
          </w:p>
        </w:tc>
        <w:tc>
          <w:tcPr>
            <w:tcW w:w="1217" w:type="dxa"/>
            <w:gridSpan w:val="5"/>
            <w:noWrap w:val="0"/>
            <w:vAlign w:val="center"/>
          </w:tcPr>
          <w:p>
            <w:pPr>
              <w:spacing w:line="500" w:lineRule="exact"/>
              <w:jc w:val="center"/>
              <w:rPr>
                <w:rFonts w:eastAsia="仿宋_GB2312"/>
                <w:color w:val="000000"/>
                <w:sz w:val="24"/>
              </w:rPr>
            </w:pPr>
            <w:r>
              <w:rPr>
                <w:rFonts w:hint="eastAsia" w:eastAsia="仿宋_GB2312"/>
                <w:color w:val="000000"/>
                <w:sz w:val="24"/>
              </w:rPr>
              <w:t>昼间</w:t>
            </w:r>
          </w:p>
        </w:tc>
        <w:tc>
          <w:tcPr>
            <w:tcW w:w="1091" w:type="dxa"/>
            <w:gridSpan w:val="4"/>
            <w:noWrap w:val="0"/>
            <w:vAlign w:val="center"/>
          </w:tcPr>
          <w:p>
            <w:pPr>
              <w:spacing w:line="500" w:lineRule="exact"/>
              <w:jc w:val="center"/>
              <w:rPr>
                <w:rFonts w:eastAsia="仿宋_GB2312"/>
                <w:color w:val="000000"/>
                <w:sz w:val="24"/>
              </w:rPr>
            </w:pPr>
            <w:r>
              <w:rPr>
                <w:rFonts w:hint="eastAsia" w:eastAsia="仿宋_GB2312"/>
                <w:color w:val="000000"/>
                <w:sz w:val="24"/>
              </w:rPr>
              <w:t>夜间</w:t>
            </w:r>
          </w:p>
        </w:tc>
        <w:tc>
          <w:tcPr>
            <w:tcW w:w="1707" w:type="dxa"/>
            <w:gridSpan w:val="3"/>
            <w:vMerge w:val="continue"/>
            <w:noWrap w:val="0"/>
            <w:vAlign w:val="center"/>
          </w:tcPr>
          <w:p>
            <w:pPr>
              <w:widowControl/>
              <w:jc w:val="left"/>
              <w:rPr>
                <w:rFonts w:eastAsia="仿宋_GB2312"/>
                <w:color w:val="000000"/>
                <w:sz w:val="24"/>
              </w:rPr>
            </w:pPr>
          </w:p>
        </w:tc>
        <w:tc>
          <w:tcPr>
            <w:tcW w:w="1696" w:type="dxa"/>
            <w:gridSpan w:val="3"/>
            <w:vMerge w:val="continue"/>
            <w:noWrap w:val="0"/>
            <w:vAlign w:val="center"/>
          </w:tcPr>
          <w:p>
            <w:pPr>
              <w:widowControl/>
              <w:jc w:val="left"/>
              <w:rPr>
                <w:rFonts w:eastAsia="仿宋_GB2312"/>
                <w:color w:val="000000"/>
                <w:sz w:val="24"/>
              </w:rPr>
            </w:pPr>
          </w:p>
        </w:tc>
        <w:tc>
          <w:tcPr>
            <w:tcW w:w="2000" w:type="dxa"/>
            <w:gridSpan w:val="4"/>
            <w:vMerge w:val="continue"/>
            <w:noWrap w:val="0"/>
            <w:vAlign w:val="center"/>
          </w:tcPr>
          <w:p>
            <w:pPr>
              <w:widowControl/>
              <w:jc w:val="lef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1786" w:type="dxa"/>
            <w:gridSpan w:val="3"/>
            <w:noWrap w:val="0"/>
            <w:vAlign w:val="center"/>
          </w:tcPr>
          <w:p>
            <w:pPr>
              <w:widowControl/>
              <w:spacing w:before="100" w:beforeAutospacing="1" w:after="100" w:afterAutospacing="1"/>
              <w:jc w:val="center"/>
              <w:rPr>
                <w:rFonts w:eastAsia="仿宋_GB2312"/>
                <w:color w:val="000000"/>
                <w:sz w:val="24"/>
              </w:rPr>
            </w:pPr>
            <w:r>
              <w:rPr>
                <w:rFonts w:ascii="宋体" w:cs="宋体"/>
                <w:kern w:val="0"/>
                <w:sz w:val="24"/>
              </w:rPr>
              <w:t> </w:t>
            </w:r>
            <w:r>
              <w:rPr>
                <w:rFonts w:hint="eastAsia" w:ascii="宋体" w:hAnsi="宋体" w:cs="宋体"/>
                <w:kern w:val="0"/>
                <w:sz w:val="24"/>
              </w:rPr>
              <w:t>东</w:t>
            </w:r>
          </w:p>
        </w:tc>
        <w:tc>
          <w:tcPr>
            <w:tcW w:w="1928" w:type="dxa"/>
            <w:gridSpan w:val="6"/>
            <w:noWrap w:val="0"/>
            <w:vAlign w:val="center"/>
          </w:tcPr>
          <w:p>
            <w:pPr>
              <w:widowControl/>
              <w:spacing w:before="100" w:beforeAutospacing="1" w:after="100" w:afterAutospacing="1"/>
              <w:jc w:val="center"/>
              <w:rPr>
                <w:rFonts w:hint="default" w:eastAsia="仿宋_GB2312"/>
                <w:color w:val="000000"/>
                <w:sz w:val="24"/>
                <w:lang w:val="en-US" w:eastAsia="zh-CN"/>
              </w:rPr>
            </w:pPr>
            <w:r>
              <w:rPr>
                <w:rFonts w:hint="eastAsia" w:eastAsia="仿宋_GB2312"/>
                <w:color w:val="000000"/>
                <w:sz w:val="24"/>
                <w:lang w:val="en-US" w:eastAsia="zh-CN"/>
              </w:rPr>
              <w:t>56.4</w:t>
            </w:r>
          </w:p>
        </w:tc>
        <w:tc>
          <w:tcPr>
            <w:tcW w:w="1884" w:type="dxa"/>
            <w:gridSpan w:val="5"/>
            <w:noWrap w:val="0"/>
            <w:vAlign w:val="center"/>
          </w:tcPr>
          <w:p>
            <w:pPr>
              <w:widowControl/>
              <w:spacing w:before="100" w:beforeAutospacing="1" w:after="100" w:afterAutospacing="1"/>
              <w:jc w:val="center"/>
              <w:rPr>
                <w:rFonts w:hint="eastAsia" w:eastAsia="宋体"/>
                <w:color w:val="000000"/>
                <w:sz w:val="24"/>
                <w:lang w:val="en-US" w:eastAsia="zh-CN"/>
              </w:rPr>
            </w:pPr>
            <w:r>
              <w:rPr>
                <w:rFonts w:ascii="宋体" w:cs="宋体"/>
                <w:kern w:val="0"/>
                <w:sz w:val="24"/>
              </w:rPr>
              <w:t> </w:t>
            </w:r>
            <w:r>
              <w:rPr>
                <w:rFonts w:hint="eastAsia" w:ascii="宋体" w:cs="宋体"/>
                <w:kern w:val="0"/>
                <w:sz w:val="24"/>
                <w:lang w:val="en-US" w:eastAsia="zh-CN"/>
              </w:rPr>
              <w:t>/</w:t>
            </w:r>
          </w:p>
        </w:tc>
        <w:tc>
          <w:tcPr>
            <w:tcW w:w="1217" w:type="dxa"/>
            <w:gridSpan w:val="5"/>
            <w:noWrap w:val="0"/>
            <w:vAlign w:val="center"/>
          </w:tcPr>
          <w:p>
            <w:pPr>
              <w:widowControl/>
              <w:spacing w:before="100" w:beforeAutospacing="1" w:after="100" w:afterAutospacing="1"/>
              <w:jc w:val="center"/>
              <w:rPr>
                <w:rFonts w:ascii="宋体" w:cs="宋体"/>
                <w:color w:val="000000"/>
                <w:sz w:val="24"/>
                <w:szCs w:val="24"/>
              </w:rPr>
            </w:pPr>
            <w:r>
              <w:rPr>
                <w:rFonts w:hint="eastAsia" w:ascii="宋体" w:cs="宋体"/>
                <w:color w:val="000000"/>
                <w:sz w:val="24"/>
                <w:szCs w:val="24"/>
                <w:lang w:val="en-US" w:eastAsia="zh-CN"/>
              </w:rPr>
              <w:t>65</w:t>
            </w:r>
          </w:p>
        </w:tc>
        <w:tc>
          <w:tcPr>
            <w:tcW w:w="1091" w:type="dxa"/>
            <w:gridSpan w:val="4"/>
            <w:noWrap w:val="0"/>
            <w:vAlign w:val="center"/>
          </w:tcPr>
          <w:p>
            <w:pPr>
              <w:widowControl/>
              <w:spacing w:before="100" w:beforeAutospacing="1" w:after="100" w:afterAutospacing="1"/>
              <w:jc w:val="center"/>
              <w:rPr>
                <w:rFonts w:hint="eastAsia" w:ascii="宋体" w:eastAsia="宋体" w:cs="宋体"/>
                <w:kern w:val="0"/>
                <w:sz w:val="24"/>
                <w:szCs w:val="24"/>
                <w:lang w:val="en-US" w:eastAsia="zh-CN"/>
              </w:rPr>
            </w:pPr>
            <w:r>
              <w:rPr>
                <w:rFonts w:hint="eastAsia" w:ascii="宋体" w:cs="宋体"/>
                <w:kern w:val="0"/>
                <w:sz w:val="24"/>
                <w:szCs w:val="24"/>
                <w:lang w:val="en-US" w:eastAsia="zh-CN"/>
              </w:rPr>
              <w:t>/</w:t>
            </w:r>
          </w:p>
        </w:tc>
        <w:tc>
          <w:tcPr>
            <w:tcW w:w="1707" w:type="dxa"/>
            <w:gridSpan w:val="3"/>
            <w:noWrap w:val="0"/>
            <w:vAlign w:val="center"/>
          </w:tcPr>
          <w:p>
            <w:pPr>
              <w:widowControl/>
              <w:spacing w:before="100" w:beforeAutospacing="1" w:after="100" w:afterAutospacing="1"/>
              <w:jc w:val="center"/>
              <w:rPr>
                <w:rFonts w:hint="eastAsia" w:eastAsia="宋体"/>
                <w:color w:val="000000"/>
                <w:sz w:val="24"/>
                <w:lang w:val="en-US" w:eastAsia="zh-CN"/>
              </w:rPr>
            </w:pPr>
            <w:r>
              <w:rPr>
                <w:rFonts w:ascii="宋体" w:cs="宋体"/>
                <w:kern w:val="0"/>
                <w:sz w:val="24"/>
              </w:rPr>
              <w:t> </w:t>
            </w:r>
            <w:r>
              <w:rPr>
                <w:rFonts w:hint="eastAsia" w:ascii="宋体" w:cs="宋体"/>
                <w:kern w:val="0"/>
                <w:sz w:val="24"/>
                <w:lang w:val="en-US" w:eastAsia="zh-CN"/>
              </w:rPr>
              <w:t>否</w:t>
            </w:r>
          </w:p>
        </w:tc>
        <w:tc>
          <w:tcPr>
            <w:tcW w:w="1696" w:type="dxa"/>
            <w:gridSpan w:val="3"/>
            <w:noWrap w:val="0"/>
            <w:vAlign w:val="center"/>
          </w:tcPr>
          <w:p>
            <w:pPr>
              <w:widowControl/>
              <w:spacing w:before="100" w:beforeAutospacing="1" w:after="100" w:afterAutospacing="1"/>
              <w:jc w:val="center"/>
              <w:rPr>
                <w:rFonts w:hint="eastAsia" w:ascii="宋体" w:eastAsia="宋体" w:cs="宋体"/>
                <w:kern w:val="0"/>
                <w:sz w:val="24"/>
                <w:lang w:val="en-US" w:eastAsia="zh-CN"/>
              </w:rPr>
            </w:pPr>
            <w:r>
              <w:rPr>
                <w:rFonts w:hint="eastAsia" w:ascii="宋体" w:cs="宋体"/>
                <w:kern w:val="0"/>
                <w:sz w:val="24"/>
                <w:lang w:val="en-US" w:eastAsia="zh-CN"/>
              </w:rPr>
              <w:t>否</w:t>
            </w:r>
          </w:p>
        </w:tc>
        <w:tc>
          <w:tcPr>
            <w:tcW w:w="2000" w:type="dxa"/>
            <w:gridSpan w:val="4"/>
            <w:noWrap w:val="0"/>
            <w:vAlign w:val="center"/>
          </w:tcPr>
          <w:p>
            <w:pPr>
              <w:widowControl/>
              <w:spacing w:before="100" w:beforeAutospacing="1" w:after="100" w:afterAutospacing="1"/>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1786" w:type="dxa"/>
            <w:gridSpan w:val="3"/>
            <w:noWrap w:val="0"/>
            <w:vAlign w:val="center"/>
          </w:tcPr>
          <w:p>
            <w:pPr>
              <w:widowControl/>
              <w:spacing w:before="100" w:beforeAutospacing="1" w:after="100" w:afterAutospacing="1"/>
              <w:jc w:val="center"/>
              <w:rPr>
                <w:rFonts w:eastAsia="仿宋_GB2312"/>
                <w:color w:val="000000"/>
                <w:sz w:val="24"/>
              </w:rPr>
            </w:pPr>
            <w:r>
              <w:rPr>
                <w:rFonts w:ascii="宋体" w:cs="宋体"/>
                <w:kern w:val="0"/>
                <w:sz w:val="24"/>
              </w:rPr>
              <w:t> </w:t>
            </w:r>
            <w:r>
              <w:rPr>
                <w:rFonts w:hint="eastAsia" w:ascii="宋体" w:hAnsi="宋体" w:cs="宋体"/>
                <w:kern w:val="0"/>
                <w:sz w:val="24"/>
              </w:rPr>
              <w:t>南</w:t>
            </w:r>
          </w:p>
        </w:tc>
        <w:tc>
          <w:tcPr>
            <w:tcW w:w="1928" w:type="dxa"/>
            <w:gridSpan w:val="6"/>
            <w:noWrap w:val="0"/>
            <w:vAlign w:val="center"/>
          </w:tcPr>
          <w:p>
            <w:pPr>
              <w:widowControl/>
              <w:spacing w:before="100" w:beforeAutospacing="1" w:after="100" w:afterAutospacing="1"/>
              <w:jc w:val="center"/>
              <w:rPr>
                <w:rFonts w:hint="default" w:eastAsia="宋体"/>
                <w:color w:val="000000"/>
                <w:sz w:val="24"/>
                <w:lang w:val="en-US" w:eastAsia="zh-CN"/>
              </w:rPr>
            </w:pPr>
            <w:r>
              <w:rPr>
                <w:rFonts w:hint="eastAsia"/>
                <w:color w:val="000000"/>
                <w:sz w:val="24"/>
                <w:lang w:val="en-US" w:eastAsia="zh-CN"/>
              </w:rPr>
              <w:t>56.3</w:t>
            </w:r>
          </w:p>
        </w:tc>
        <w:tc>
          <w:tcPr>
            <w:tcW w:w="1884" w:type="dxa"/>
            <w:gridSpan w:val="5"/>
            <w:noWrap w:val="0"/>
            <w:vAlign w:val="center"/>
          </w:tcPr>
          <w:p>
            <w:pPr>
              <w:widowControl/>
              <w:spacing w:before="100" w:beforeAutospacing="1" w:after="100" w:afterAutospacing="1"/>
              <w:jc w:val="center"/>
              <w:rPr>
                <w:rFonts w:hint="eastAsia" w:eastAsia="宋体"/>
                <w:color w:val="000000"/>
                <w:sz w:val="24"/>
                <w:lang w:val="en-US" w:eastAsia="zh-CN"/>
              </w:rPr>
            </w:pPr>
            <w:r>
              <w:rPr>
                <w:rFonts w:ascii="宋体" w:cs="宋体"/>
                <w:kern w:val="0"/>
                <w:sz w:val="24"/>
              </w:rPr>
              <w:t> </w:t>
            </w:r>
            <w:r>
              <w:rPr>
                <w:rFonts w:hint="eastAsia" w:ascii="宋体" w:cs="宋体"/>
                <w:kern w:val="0"/>
                <w:sz w:val="24"/>
                <w:lang w:val="en-US" w:eastAsia="zh-CN"/>
              </w:rPr>
              <w:t>/</w:t>
            </w:r>
          </w:p>
        </w:tc>
        <w:tc>
          <w:tcPr>
            <w:tcW w:w="1217" w:type="dxa"/>
            <w:gridSpan w:val="5"/>
            <w:noWrap w:val="0"/>
            <w:vAlign w:val="center"/>
          </w:tcPr>
          <w:p>
            <w:pPr>
              <w:widowControl/>
              <w:spacing w:before="100" w:beforeAutospacing="1" w:after="100" w:afterAutospacing="1"/>
              <w:jc w:val="center"/>
              <w:rPr>
                <w:rFonts w:ascii="宋体" w:cs="宋体"/>
                <w:color w:val="000000"/>
                <w:sz w:val="24"/>
                <w:szCs w:val="24"/>
              </w:rPr>
            </w:pPr>
            <w:r>
              <w:rPr>
                <w:rFonts w:hint="eastAsia" w:ascii="宋体" w:cs="宋体"/>
                <w:color w:val="000000"/>
                <w:sz w:val="24"/>
                <w:szCs w:val="24"/>
                <w:lang w:val="en-US" w:eastAsia="zh-CN"/>
              </w:rPr>
              <w:t>65</w:t>
            </w:r>
          </w:p>
        </w:tc>
        <w:tc>
          <w:tcPr>
            <w:tcW w:w="1091" w:type="dxa"/>
            <w:gridSpan w:val="4"/>
            <w:noWrap w:val="0"/>
            <w:vAlign w:val="center"/>
          </w:tcPr>
          <w:p>
            <w:pPr>
              <w:widowControl/>
              <w:spacing w:before="100" w:beforeAutospacing="1" w:after="100" w:afterAutospacing="1"/>
              <w:jc w:val="center"/>
              <w:rPr>
                <w:rFonts w:hint="eastAsia" w:ascii="宋体" w:eastAsia="宋体" w:cs="宋体"/>
                <w:color w:val="000000"/>
                <w:sz w:val="24"/>
                <w:szCs w:val="24"/>
                <w:lang w:val="en-US" w:eastAsia="zh-CN"/>
              </w:rPr>
            </w:pPr>
            <w:r>
              <w:rPr>
                <w:rFonts w:hint="eastAsia" w:ascii="宋体" w:cs="宋体"/>
                <w:color w:val="000000"/>
                <w:sz w:val="24"/>
                <w:szCs w:val="24"/>
                <w:lang w:val="en-US" w:eastAsia="zh-CN"/>
              </w:rPr>
              <w:t>/</w:t>
            </w:r>
          </w:p>
        </w:tc>
        <w:tc>
          <w:tcPr>
            <w:tcW w:w="1707" w:type="dxa"/>
            <w:gridSpan w:val="3"/>
            <w:noWrap w:val="0"/>
            <w:vAlign w:val="center"/>
          </w:tcPr>
          <w:p>
            <w:pPr>
              <w:widowControl/>
              <w:spacing w:before="100" w:beforeAutospacing="1" w:after="100" w:afterAutospacing="1"/>
              <w:jc w:val="center"/>
              <w:rPr>
                <w:rFonts w:hint="eastAsia" w:eastAsia="宋体"/>
                <w:color w:val="000000"/>
                <w:sz w:val="24"/>
                <w:lang w:val="en-US" w:eastAsia="zh-CN"/>
              </w:rPr>
            </w:pPr>
            <w:r>
              <w:rPr>
                <w:rFonts w:ascii="宋体" w:cs="宋体"/>
                <w:kern w:val="0"/>
                <w:sz w:val="24"/>
              </w:rPr>
              <w:t> </w:t>
            </w:r>
            <w:r>
              <w:rPr>
                <w:rFonts w:hint="eastAsia" w:ascii="宋体" w:cs="宋体"/>
                <w:kern w:val="0"/>
                <w:sz w:val="24"/>
                <w:lang w:val="en-US" w:eastAsia="zh-CN"/>
              </w:rPr>
              <w:t>否</w:t>
            </w:r>
          </w:p>
        </w:tc>
        <w:tc>
          <w:tcPr>
            <w:tcW w:w="1696" w:type="dxa"/>
            <w:gridSpan w:val="3"/>
            <w:noWrap w:val="0"/>
            <w:vAlign w:val="center"/>
          </w:tcPr>
          <w:p>
            <w:pPr>
              <w:widowControl/>
              <w:spacing w:before="100" w:beforeAutospacing="1" w:after="100" w:afterAutospacing="1"/>
              <w:jc w:val="center"/>
              <w:rPr>
                <w:rFonts w:hint="eastAsia" w:ascii="宋体" w:eastAsia="宋体" w:cs="宋体"/>
                <w:kern w:val="0"/>
                <w:sz w:val="24"/>
                <w:lang w:val="en-US" w:eastAsia="zh-CN"/>
              </w:rPr>
            </w:pPr>
            <w:r>
              <w:rPr>
                <w:rFonts w:hint="eastAsia" w:ascii="宋体" w:cs="宋体"/>
                <w:kern w:val="0"/>
                <w:sz w:val="24"/>
                <w:lang w:val="en-US" w:eastAsia="zh-CN"/>
              </w:rPr>
              <w:t>否</w:t>
            </w:r>
          </w:p>
        </w:tc>
        <w:tc>
          <w:tcPr>
            <w:tcW w:w="2000" w:type="dxa"/>
            <w:gridSpan w:val="4"/>
            <w:noWrap w:val="0"/>
            <w:vAlign w:val="center"/>
          </w:tcPr>
          <w:p>
            <w:pPr>
              <w:widowControl/>
              <w:spacing w:before="100" w:beforeAutospacing="1" w:after="100" w:afterAutospacing="1"/>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1786" w:type="dxa"/>
            <w:gridSpan w:val="3"/>
            <w:noWrap w:val="0"/>
            <w:vAlign w:val="center"/>
          </w:tcPr>
          <w:p>
            <w:pPr>
              <w:widowControl/>
              <w:spacing w:before="100" w:beforeAutospacing="1" w:after="100" w:afterAutospacing="1"/>
              <w:jc w:val="center"/>
              <w:rPr>
                <w:rFonts w:eastAsia="仿宋_GB2312"/>
                <w:color w:val="000000"/>
                <w:sz w:val="24"/>
              </w:rPr>
            </w:pPr>
            <w:r>
              <w:rPr>
                <w:rFonts w:ascii="宋体" w:cs="宋体"/>
                <w:kern w:val="0"/>
                <w:sz w:val="24"/>
              </w:rPr>
              <w:t> </w:t>
            </w:r>
            <w:r>
              <w:rPr>
                <w:rFonts w:hint="eastAsia" w:ascii="宋体" w:hAnsi="宋体" w:cs="宋体"/>
                <w:kern w:val="0"/>
                <w:sz w:val="24"/>
              </w:rPr>
              <w:t>西</w:t>
            </w:r>
          </w:p>
        </w:tc>
        <w:tc>
          <w:tcPr>
            <w:tcW w:w="1928" w:type="dxa"/>
            <w:gridSpan w:val="6"/>
            <w:noWrap w:val="0"/>
            <w:vAlign w:val="center"/>
          </w:tcPr>
          <w:p>
            <w:pPr>
              <w:widowControl/>
              <w:spacing w:before="100" w:beforeAutospacing="1" w:after="100" w:afterAutospacing="1"/>
              <w:jc w:val="center"/>
              <w:rPr>
                <w:rFonts w:hint="default" w:eastAsia="宋体"/>
                <w:color w:val="000000"/>
                <w:sz w:val="24"/>
                <w:lang w:val="en-US" w:eastAsia="zh-CN"/>
              </w:rPr>
            </w:pPr>
            <w:r>
              <w:rPr>
                <w:rFonts w:ascii="宋体" w:cs="宋体"/>
                <w:kern w:val="0"/>
                <w:sz w:val="24"/>
              </w:rPr>
              <w:t> </w:t>
            </w:r>
            <w:r>
              <w:rPr>
                <w:rFonts w:hint="eastAsia" w:ascii="宋体" w:cs="宋体"/>
                <w:kern w:val="0"/>
                <w:sz w:val="24"/>
                <w:lang w:val="en-US" w:eastAsia="zh-CN"/>
              </w:rPr>
              <w:t>57.0</w:t>
            </w:r>
          </w:p>
        </w:tc>
        <w:tc>
          <w:tcPr>
            <w:tcW w:w="1884" w:type="dxa"/>
            <w:gridSpan w:val="5"/>
            <w:noWrap w:val="0"/>
            <w:vAlign w:val="center"/>
          </w:tcPr>
          <w:p>
            <w:pPr>
              <w:widowControl/>
              <w:spacing w:before="100" w:beforeAutospacing="1" w:after="100" w:afterAutospacing="1"/>
              <w:jc w:val="center"/>
              <w:rPr>
                <w:rFonts w:hint="eastAsia" w:eastAsia="仿宋_GB2312"/>
                <w:color w:val="000000"/>
                <w:sz w:val="24"/>
                <w:lang w:val="en-US" w:eastAsia="zh-CN"/>
              </w:rPr>
            </w:pPr>
            <w:r>
              <w:rPr>
                <w:rFonts w:hint="eastAsia" w:eastAsia="仿宋_GB2312"/>
                <w:color w:val="000000"/>
                <w:sz w:val="24"/>
                <w:lang w:val="en-US" w:eastAsia="zh-CN"/>
              </w:rPr>
              <w:t>/</w:t>
            </w:r>
          </w:p>
        </w:tc>
        <w:tc>
          <w:tcPr>
            <w:tcW w:w="1217" w:type="dxa"/>
            <w:gridSpan w:val="5"/>
            <w:noWrap w:val="0"/>
            <w:vAlign w:val="center"/>
          </w:tcPr>
          <w:p>
            <w:pPr>
              <w:widowControl/>
              <w:spacing w:before="100" w:beforeAutospacing="1" w:after="100" w:afterAutospacing="1"/>
              <w:jc w:val="center"/>
              <w:rPr>
                <w:rFonts w:ascii="宋体" w:cs="宋体"/>
                <w:color w:val="000000"/>
                <w:sz w:val="24"/>
                <w:szCs w:val="24"/>
              </w:rPr>
            </w:pPr>
            <w:r>
              <w:rPr>
                <w:rFonts w:hint="eastAsia" w:ascii="宋体" w:cs="宋体"/>
                <w:color w:val="000000"/>
                <w:sz w:val="24"/>
                <w:szCs w:val="24"/>
                <w:lang w:val="en-US" w:eastAsia="zh-CN"/>
              </w:rPr>
              <w:t>65</w:t>
            </w:r>
          </w:p>
        </w:tc>
        <w:tc>
          <w:tcPr>
            <w:tcW w:w="1091" w:type="dxa"/>
            <w:gridSpan w:val="4"/>
            <w:noWrap w:val="0"/>
            <w:vAlign w:val="center"/>
          </w:tcPr>
          <w:p>
            <w:pPr>
              <w:widowControl/>
              <w:spacing w:before="100" w:beforeAutospacing="1" w:after="100" w:afterAutospacing="1"/>
              <w:jc w:val="center"/>
              <w:rPr>
                <w:rFonts w:hint="eastAsia" w:ascii="宋体" w:eastAsia="宋体" w:cs="宋体"/>
                <w:color w:val="000000"/>
                <w:sz w:val="24"/>
                <w:szCs w:val="24"/>
                <w:lang w:val="en-US" w:eastAsia="zh-CN"/>
              </w:rPr>
            </w:pPr>
            <w:r>
              <w:rPr>
                <w:rFonts w:hint="eastAsia" w:ascii="宋体" w:cs="宋体"/>
                <w:color w:val="000000"/>
                <w:sz w:val="24"/>
                <w:szCs w:val="24"/>
                <w:lang w:val="en-US" w:eastAsia="zh-CN"/>
              </w:rPr>
              <w:t>/</w:t>
            </w:r>
          </w:p>
        </w:tc>
        <w:tc>
          <w:tcPr>
            <w:tcW w:w="1707" w:type="dxa"/>
            <w:gridSpan w:val="3"/>
            <w:noWrap w:val="0"/>
            <w:vAlign w:val="center"/>
          </w:tcPr>
          <w:p>
            <w:pPr>
              <w:widowControl/>
              <w:spacing w:before="100" w:beforeAutospacing="1" w:after="100" w:afterAutospacing="1"/>
              <w:jc w:val="center"/>
              <w:rPr>
                <w:rFonts w:hint="eastAsia" w:eastAsia="宋体"/>
                <w:color w:val="000000"/>
                <w:sz w:val="24"/>
                <w:lang w:val="en-US" w:eastAsia="zh-CN"/>
              </w:rPr>
            </w:pPr>
            <w:r>
              <w:rPr>
                <w:rFonts w:ascii="宋体" w:cs="宋体"/>
                <w:kern w:val="0"/>
                <w:sz w:val="24"/>
              </w:rPr>
              <w:t> </w:t>
            </w:r>
            <w:r>
              <w:rPr>
                <w:rFonts w:hint="eastAsia" w:ascii="宋体" w:cs="宋体"/>
                <w:kern w:val="0"/>
                <w:sz w:val="24"/>
                <w:lang w:val="en-US" w:eastAsia="zh-CN"/>
              </w:rPr>
              <w:t>否</w:t>
            </w:r>
          </w:p>
        </w:tc>
        <w:tc>
          <w:tcPr>
            <w:tcW w:w="1696" w:type="dxa"/>
            <w:gridSpan w:val="3"/>
            <w:noWrap w:val="0"/>
            <w:vAlign w:val="center"/>
          </w:tcPr>
          <w:p>
            <w:pPr>
              <w:widowControl/>
              <w:spacing w:before="100" w:beforeAutospacing="1" w:after="100" w:afterAutospacing="1"/>
              <w:jc w:val="center"/>
              <w:rPr>
                <w:rFonts w:hint="eastAsia" w:ascii="宋体" w:eastAsia="宋体" w:cs="宋体"/>
                <w:kern w:val="0"/>
                <w:sz w:val="24"/>
                <w:lang w:val="en-US" w:eastAsia="zh-CN"/>
              </w:rPr>
            </w:pPr>
            <w:r>
              <w:rPr>
                <w:rFonts w:hint="eastAsia" w:ascii="宋体" w:cs="宋体"/>
                <w:kern w:val="0"/>
                <w:sz w:val="24"/>
                <w:lang w:val="en-US" w:eastAsia="zh-CN"/>
              </w:rPr>
              <w:t>否</w:t>
            </w:r>
          </w:p>
        </w:tc>
        <w:tc>
          <w:tcPr>
            <w:tcW w:w="2000" w:type="dxa"/>
            <w:gridSpan w:val="4"/>
            <w:noWrap w:val="0"/>
            <w:vAlign w:val="center"/>
          </w:tcPr>
          <w:p>
            <w:pPr>
              <w:widowControl/>
              <w:spacing w:before="100" w:beforeAutospacing="1" w:after="100" w:afterAutospacing="1"/>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1786" w:type="dxa"/>
            <w:gridSpan w:val="3"/>
            <w:noWrap w:val="0"/>
            <w:vAlign w:val="center"/>
          </w:tcPr>
          <w:p>
            <w:pPr>
              <w:widowControl/>
              <w:spacing w:before="100" w:beforeAutospacing="1" w:after="100" w:afterAutospacing="1"/>
              <w:jc w:val="center"/>
              <w:rPr>
                <w:rFonts w:eastAsia="仿宋_GB2312"/>
                <w:color w:val="000000"/>
                <w:sz w:val="24"/>
              </w:rPr>
            </w:pPr>
            <w:r>
              <w:rPr>
                <w:rFonts w:ascii="宋体" w:cs="宋体"/>
                <w:kern w:val="0"/>
                <w:sz w:val="24"/>
              </w:rPr>
              <w:t> </w:t>
            </w:r>
            <w:r>
              <w:rPr>
                <w:rFonts w:hint="eastAsia" w:ascii="宋体" w:hAnsi="宋体" w:cs="宋体"/>
                <w:kern w:val="0"/>
                <w:sz w:val="24"/>
              </w:rPr>
              <w:t>北</w:t>
            </w:r>
          </w:p>
        </w:tc>
        <w:tc>
          <w:tcPr>
            <w:tcW w:w="1928" w:type="dxa"/>
            <w:gridSpan w:val="6"/>
            <w:noWrap w:val="0"/>
            <w:vAlign w:val="center"/>
          </w:tcPr>
          <w:p>
            <w:pPr>
              <w:widowControl/>
              <w:spacing w:before="100" w:beforeAutospacing="1" w:after="100" w:afterAutospacing="1"/>
              <w:jc w:val="center"/>
              <w:rPr>
                <w:rFonts w:hint="default" w:eastAsia="宋体"/>
                <w:color w:val="000000"/>
                <w:sz w:val="24"/>
                <w:lang w:val="en-US" w:eastAsia="zh-CN"/>
              </w:rPr>
            </w:pPr>
            <w:r>
              <w:rPr>
                <w:rFonts w:ascii="宋体" w:cs="宋体"/>
                <w:kern w:val="0"/>
                <w:sz w:val="24"/>
              </w:rPr>
              <w:t> </w:t>
            </w:r>
            <w:r>
              <w:rPr>
                <w:rFonts w:hint="eastAsia" w:ascii="宋体" w:cs="宋体"/>
                <w:kern w:val="0"/>
                <w:sz w:val="24"/>
                <w:lang w:val="en-US" w:eastAsia="zh-CN"/>
              </w:rPr>
              <w:t>62.6</w:t>
            </w:r>
          </w:p>
        </w:tc>
        <w:tc>
          <w:tcPr>
            <w:tcW w:w="1884" w:type="dxa"/>
            <w:gridSpan w:val="5"/>
            <w:noWrap w:val="0"/>
            <w:vAlign w:val="center"/>
          </w:tcPr>
          <w:p>
            <w:pPr>
              <w:widowControl/>
              <w:spacing w:before="100" w:beforeAutospacing="1" w:after="100" w:afterAutospacing="1"/>
              <w:jc w:val="center"/>
              <w:rPr>
                <w:rFonts w:hint="eastAsia" w:eastAsia="宋体"/>
                <w:lang w:val="en-US" w:eastAsia="zh-CN"/>
              </w:rPr>
            </w:pPr>
            <w:r>
              <w:rPr>
                <w:rFonts w:ascii="宋体" w:cs="宋体"/>
                <w:kern w:val="0"/>
                <w:sz w:val="24"/>
              </w:rPr>
              <w:t> </w:t>
            </w:r>
            <w:r>
              <w:rPr>
                <w:rFonts w:hint="eastAsia" w:ascii="宋体" w:cs="宋体"/>
                <w:kern w:val="0"/>
                <w:sz w:val="24"/>
                <w:lang w:val="en-US" w:eastAsia="zh-CN"/>
              </w:rPr>
              <w:t>/</w:t>
            </w:r>
          </w:p>
        </w:tc>
        <w:tc>
          <w:tcPr>
            <w:tcW w:w="1217" w:type="dxa"/>
            <w:gridSpan w:val="5"/>
            <w:noWrap w:val="0"/>
            <w:vAlign w:val="center"/>
          </w:tcPr>
          <w:p>
            <w:pPr>
              <w:widowControl/>
              <w:spacing w:before="100" w:beforeAutospacing="1" w:after="100" w:afterAutospacing="1"/>
              <w:jc w:val="center"/>
              <w:rPr>
                <w:rFonts w:ascii="宋体" w:cs="宋体"/>
                <w:sz w:val="24"/>
                <w:szCs w:val="24"/>
              </w:rPr>
            </w:pPr>
            <w:r>
              <w:rPr>
                <w:rFonts w:hint="eastAsia" w:ascii="宋体" w:cs="宋体"/>
                <w:color w:val="000000"/>
                <w:sz w:val="24"/>
                <w:szCs w:val="24"/>
                <w:lang w:val="en-US" w:eastAsia="zh-CN"/>
              </w:rPr>
              <w:t>65</w:t>
            </w:r>
          </w:p>
        </w:tc>
        <w:tc>
          <w:tcPr>
            <w:tcW w:w="1091" w:type="dxa"/>
            <w:gridSpan w:val="4"/>
            <w:noWrap w:val="0"/>
            <w:vAlign w:val="center"/>
          </w:tcPr>
          <w:p>
            <w:pPr>
              <w:widowControl/>
              <w:spacing w:before="100" w:beforeAutospacing="1" w:after="100" w:afterAutospacing="1"/>
              <w:jc w:val="center"/>
              <w:rPr>
                <w:rFonts w:hint="eastAsia" w:ascii="宋体" w:eastAsia="宋体" w:cs="宋体"/>
                <w:sz w:val="24"/>
                <w:szCs w:val="24"/>
                <w:lang w:val="en-US" w:eastAsia="zh-CN"/>
              </w:rPr>
            </w:pPr>
            <w:r>
              <w:rPr>
                <w:rFonts w:hint="eastAsia" w:ascii="宋体" w:cs="宋体"/>
                <w:sz w:val="24"/>
                <w:szCs w:val="24"/>
                <w:lang w:val="en-US" w:eastAsia="zh-CN"/>
              </w:rPr>
              <w:t>/</w:t>
            </w:r>
          </w:p>
        </w:tc>
        <w:tc>
          <w:tcPr>
            <w:tcW w:w="1707" w:type="dxa"/>
            <w:gridSpan w:val="3"/>
            <w:noWrap w:val="0"/>
            <w:vAlign w:val="center"/>
          </w:tcPr>
          <w:p>
            <w:pPr>
              <w:widowControl/>
              <w:spacing w:before="100" w:beforeAutospacing="1" w:after="100" w:afterAutospacing="1"/>
              <w:jc w:val="center"/>
              <w:rPr>
                <w:rFonts w:hint="eastAsia" w:eastAsia="宋体"/>
                <w:lang w:val="en-US" w:eastAsia="zh-CN"/>
              </w:rPr>
            </w:pPr>
            <w:r>
              <w:rPr>
                <w:rFonts w:ascii="宋体" w:cs="宋体"/>
                <w:kern w:val="0"/>
                <w:sz w:val="24"/>
              </w:rPr>
              <w:t> </w:t>
            </w:r>
            <w:r>
              <w:rPr>
                <w:rFonts w:hint="eastAsia" w:ascii="宋体" w:cs="宋体"/>
                <w:kern w:val="0"/>
                <w:sz w:val="24"/>
                <w:lang w:val="en-US" w:eastAsia="zh-CN"/>
              </w:rPr>
              <w:t>否</w:t>
            </w:r>
          </w:p>
        </w:tc>
        <w:tc>
          <w:tcPr>
            <w:tcW w:w="1696" w:type="dxa"/>
            <w:gridSpan w:val="3"/>
            <w:noWrap w:val="0"/>
            <w:vAlign w:val="center"/>
          </w:tcPr>
          <w:p>
            <w:pPr>
              <w:widowControl/>
              <w:spacing w:before="100" w:beforeAutospacing="1" w:after="100" w:afterAutospacing="1"/>
              <w:jc w:val="center"/>
              <w:rPr>
                <w:rFonts w:hint="eastAsia" w:ascii="宋体" w:eastAsia="宋体" w:cs="宋体"/>
                <w:kern w:val="0"/>
                <w:sz w:val="24"/>
                <w:lang w:val="en-US" w:eastAsia="zh-CN"/>
              </w:rPr>
            </w:pPr>
            <w:r>
              <w:rPr>
                <w:rFonts w:hint="eastAsia" w:ascii="宋体" w:cs="宋体"/>
                <w:kern w:val="0"/>
                <w:sz w:val="24"/>
                <w:lang w:val="en-US" w:eastAsia="zh-CN"/>
              </w:rPr>
              <w:t>否</w:t>
            </w:r>
          </w:p>
        </w:tc>
        <w:tc>
          <w:tcPr>
            <w:tcW w:w="2000" w:type="dxa"/>
            <w:gridSpan w:val="4"/>
            <w:noWrap w:val="0"/>
            <w:vAlign w:val="center"/>
          </w:tcPr>
          <w:p>
            <w:pPr>
              <w:widowControl/>
              <w:spacing w:before="100" w:beforeAutospacing="1" w:after="100" w:afterAutospacing="1"/>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1786" w:type="dxa"/>
            <w:gridSpan w:val="3"/>
            <w:noWrap w:val="0"/>
            <w:vAlign w:val="center"/>
          </w:tcPr>
          <w:p>
            <w:pPr>
              <w:pStyle w:val="16"/>
              <w:rPr>
                <w:rFonts w:ascii="宋体" w:cs="宋体"/>
                <w:kern w:val="0"/>
                <w:sz w:val="24"/>
              </w:rPr>
            </w:pPr>
          </w:p>
        </w:tc>
        <w:tc>
          <w:tcPr>
            <w:tcW w:w="1928" w:type="dxa"/>
            <w:gridSpan w:val="6"/>
            <w:noWrap w:val="0"/>
            <w:vAlign w:val="center"/>
          </w:tcPr>
          <w:p>
            <w:pPr>
              <w:widowControl/>
              <w:spacing w:before="100" w:beforeAutospacing="1" w:after="100" w:afterAutospacing="1"/>
              <w:jc w:val="center"/>
              <w:rPr>
                <w:rFonts w:ascii="宋体" w:cs="宋体"/>
                <w:kern w:val="0"/>
                <w:sz w:val="24"/>
              </w:rPr>
            </w:pPr>
          </w:p>
        </w:tc>
        <w:tc>
          <w:tcPr>
            <w:tcW w:w="1884" w:type="dxa"/>
            <w:gridSpan w:val="5"/>
            <w:noWrap w:val="0"/>
            <w:vAlign w:val="center"/>
          </w:tcPr>
          <w:p>
            <w:pPr>
              <w:widowControl/>
              <w:spacing w:before="100" w:beforeAutospacing="1" w:after="100" w:afterAutospacing="1"/>
              <w:jc w:val="center"/>
              <w:rPr>
                <w:rFonts w:ascii="宋体" w:cs="宋体"/>
                <w:kern w:val="0"/>
                <w:sz w:val="24"/>
              </w:rPr>
            </w:pPr>
          </w:p>
        </w:tc>
        <w:tc>
          <w:tcPr>
            <w:tcW w:w="1217" w:type="dxa"/>
            <w:gridSpan w:val="5"/>
            <w:noWrap w:val="0"/>
            <w:vAlign w:val="center"/>
          </w:tcPr>
          <w:p>
            <w:pPr>
              <w:widowControl/>
              <w:spacing w:before="100" w:beforeAutospacing="1" w:after="100" w:afterAutospacing="1"/>
              <w:jc w:val="center"/>
              <w:rPr>
                <w:rFonts w:ascii="宋体" w:cs="宋体"/>
                <w:sz w:val="24"/>
                <w:szCs w:val="24"/>
              </w:rPr>
            </w:pPr>
          </w:p>
        </w:tc>
        <w:tc>
          <w:tcPr>
            <w:tcW w:w="1091" w:type="dxa"/>
            <w:gridSpan w:val="4"/>
            <w:noWrap w:val="0"/>
            <w:vAlign w:val="center"/>
          </w:tcPr>
          <w:p>
            <w:pPr>
              <w:widowControl/>
              <w:spacing w:before="100" w:beforeAutospacing="1" w:after="100" w:afterAutospacing="1"/>
              <w:jc w:val="center"/>
              <w:rPr>
                <w:rFonts w:ascii="宋体" w:cs="宋体"/>
                <w:sz w:val="24"/>
                <w:szCs w:val="24"/>
              </w:rPr>
            </w:pPr>
          </w:p>
        </w:tc>
        <w:tc>
          <w:tcPr>
            <w:tcW w:w="1707" w:type="dxa"/>
            <w:gridSpan w:val="3"/>
            <w:noWrap w:val="0"/>
            <w:vAlign w:val="center"/>
          </w:tcPr>
          <w:p>
            <w:pPr>
              <w:widowControl/>
              <w:spacing w:before="100" w:beforeAutospacing="1" w:after="100" w:afterAutospacing="1"/>
              <w:jc w:val="center"/>
              <w:rPr>
                <w:rFonts w:ascii="宋体" w:cs="宋体"/>
                <w:kern w:val="0"/>
                <w:sz w:val="24"/>
              </w:rPr>
            </w:pPr>
          </w:p>
        </w:tc>
        <w:tc>
          <w:tcPr>
            <w:tcW w:w="1696" w:type="dxa"/>
            <w:gridSpan w:val="3"/>
            <w:noWrap w:val="0"/>
            <w:vAlign w:val="center"/>
          </w:tcPr>
          <w:p>
            <w:pPr>
              <w:widowControl/>
              <w:spacing w:before="100" w:beforeAutospacing="1" w:after="100" w:afterAutospacing="1"/>
              <w:jc w:val="center"/>
              <w:rPr>
                <w:rFonts w:hint="eastAsia" w:ascii="宋体" w:cs="宋体"/>
                <w:kern w:val="0"/>
                <w:sz w:val="24"/>
                <w:lang w:val="en-US" w:eastAsia="zh-CN"/>
              </w:rPr>
            </w:pPr>
          </w:p>
        </w:tc>
        <w:tc>
          <w:tcPr>
            <w:tcW w:w="2000" w:type="dxa"/>
            <w:gridSpan w:val="4"/>
            <w:noWrap w:val="0"/>
            <w:vAlign w:val="center"/>
          </w:tcPr>
          <w:p>
            <w:pPr>
              <w:widowControl/>
              <w:spacing w:before="100" w:beforeAutospacing="1" w:after="100" w:afterAutospacing="1"/>
              <w:jc w:val="center"/>
              <w:rPr>
                <w:rFonts w:ascii="宋体" w:cs="宋体"/>
                <w:kern w:val="0"/>
                <w:sz w:val="24"/>
              </w:rPr>
            </w:pPr>
          </w:p>
        </w:tc>
      </w:tr>
    </w:tbl>
    <w:p>
      <w:pPr>
        <w:numPr>
          <w:ilvl w:val="0"/>
          <w:numId w:val="1"/>
        </w:numPr>
        <w:spacing w:line="560" w:lineRule="exact"/>
        <w:ind w:firstLine="320" w:firstLineChars="100"/>
        <w:jc w:val="left"/>
        <w:rPr>
          <w:rFonts w:hint="eastAsia" w:eastAsia="黑体"/>
          <w:sz w:val="32"/>
          <w:szCs w:val="32"/>
        </w:rPr>
      </w:pPr>
      <w:r>
        <w:rPr>
          <w:rFonts w:hint="eastAsia" w:eastAsia="黑体"/>
          <w:sz w:val="32"/>
          <w:szCs w:val="32"/>
        </w:rPr>
        <w:t>防治污染设施的建设和运行情况</w:t>
      </w:r>
    </w:p>
    <w:p>
      <w:pPr>
        <w:pStyle w:val="16"/>
        <w:numPr>
          <w:ilvl w:val="0"/>
          <w:numId w:val="0"/>
        </w:numPr>
      </w:pPr>
    </w:p>
    <w:tbl>
      <w:tblPr>
        <w:tblStyle w:val="13"/>
        <w:tblW w:w="13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4282"/>
        <w:gridCol w:w="1559"/>
        <w:gridCol w:w="1701"/>
        <w:gridCol w:w="2126"/>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60" w:lineRule="exact"/>
              <w:ind w:left="-105" w:leftChars="-50" w:right="-105" w:rightChars="-50"/>
              <w:jc w:val="center"/>
              <w:rPr>
                <w:rFonts w:eastAsia="仿宋_GB2312"/>
                <w:sz w:val="24"/>
              </w:rPr>
            </w:pPr>
            <w:r>
              <w:rPr>
                <w:rFonts w:hint="eastAsia" w:eastAsia="仿宋_GB2312"/>
                <w:sz w:val="24"/>
              </w:rPr>
              <w:t>设施类别</w:t>
            </w:r>
          </w:p>
        </w:tc>
        <w:tc>
          <w:tcPr>
            <w:tcW w:w="4282" w:type="dxa"/>
            <w:noWrap w:val="0"/>
            <w:vAlign w:val="center"/>
          </w:tcPr>
          <w:p>
            <w:pPr>
              <w:spacing w:line="560" w:lineRule="exact"/>
              <w:ind w:left="-105" w:leftChars="-50" w:right="-105" w:rightChars="-50"/>
              <w:jc w:val="center"/>
              <w:rPr>
                <w:rFonts w:eastAsia="仿宋_GB2312"/>
                <w:sz w:val="24"/>
              </w:rPr>
            </w:pPr>
            <w:r>
              <w:rPr>
                <w:rFonts w:hint="eastAsia" w:eastAsia="仿宋_GB2312"/>
                <w:sz w:val="24"/>
              </w:rPr>
              <w:t>防治污染设施名称</w:t>
            </w:r>
          </w:p>
        </w:tc>
        <w:tc>
          <w:tcPr>
            <w:tcW w:w="1559" w:type="dxa"/>
            <w:noWrap w:val="0"/>
            <w:vAlign w:val="center"/>
          </w:tcPr>
          <w:p>
            <w:pPr>
              <w:spacing w:line="560" w:lineRule="exact"/>
              <w:ind w:left="-105" w:leftChars="-50" w:right="-105" w:rightChars="-50"/>
              <w:jc w:val="center"/>
              <w:rPr>
                <w:rFonts w:eastAsia="仿宋_GB2312"/>
                <w:sz w:val="24"/>
              </w:rPr>
            </w:pPr>
            <w:r>
              <w:rPr>
                <w:rFonts w:hint="eastAsia" w:eastAsia="仿宋_GB2312"/>
                <w:sz w:val="24"/>
              </w:rPr>
              <w:t>投运时间</w:t>
            </w:r>
          </w:p>
        </w:tc>
        <w:tc>
          <w:tcPr>
            <w:tcW w:w="1701" w:type="dxa"/>
            <w:noWrap w:val="0"/>
            <w:vAlign w:val="center"/>
          </w:tcPr>
          <w:p>
            <w:pPr>
              <w:spacing w:line="560" w:lineRule="exact"/>
              <w:ind w:left="-105" w:leftChars="-50" w:right="-105" w:rightChars="-50"/>
              <w:jc w:val="center"/>
              <w:rPr>
                <w:rFonts w:eastAsia="仿宋_GB2312"/>
                <w:sz w:val="24"/>
              </w:rPr>
            </w:pPr>
            <w:r>
              <w:rPr>
                <w:rFonts w:hint="eastAsia" w:eastAsia="仿宋_GB2312"/>
                <w:sz w:val="24"/>
              </w:rPr>
              <w:t>处理能力</w:t>
            </w:r>
          </w:p>
        </w:tc>
        <w:tc>
          <w:tcPr>
            <w:tcW w:w="2126" w:type="dxa"/>
            <w:noWrap w:val="0"/>
            <w:vAlign w:val="center"/>
          </w:tcPr>
          <w:p>
            <w:pPr>
              <w:spacing w:line="560" w:lineRule="exact"/>
              <w:ind w:left="-105" w:leftChars="-50" w:right="-105" w:rightChars="-50"/>
              <w:jc w:val="center"/>
              <w:rPr>
                <w:rFonts w:eastAsia="仿宋_GB2312"/>
                <w:sz w:val="24"/>
              </w:rPr>
            </w:pPr>
            <w:r>
              <w:rPr>
                <w:rFonts w:hint="eastAsia" w:eastAsia="仿宋_GB2312"/>
                <w:sz w:val="24"/>
              </w:rPr>
              <w:t>运行情况</w:t>
            </w:r>
          </w:p>
        </w:tc>
        <w:tc>
          <w:tcPr>
            <w:tcW w:w="1927" w:type="dxa"/>
            <w:noWrap w:val="0"/>
            <w:vAlign w:val="center"/>
          </w:tcPr>
          <w:p>
            <w:pPr>
              <w:spacing w:line="560" w:lineRule="exact"/>
              <w:ind w:left="-105" w:leftChars="-50" w:right="-105" w:rightChars="-50"/>
              <w:jc w:val="center"/>
              <w:rPr>
                <w:rFonts w:eastAsia="仿宋_GB2312"/>
                <w:sz w:val="24"/>
              </w:rPr>
            </w:pPr>
            <w:r>
              <w:rPr>
                <w:rFonts w:hint="eastAsia" w:eastAsia="仿宋_GB2312"/>
                <w:sz w:val="24"/>
              </w:rPr>
              <w:t>运维单位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60" w:type="dxa"/>
            <w:vMerge w:val="restart"/>
            <w:noWrap w:val="0"/>
            <w:vAlign w:val="center"/>
          </w:tcPr>
          <w:p>
            <w:pPr>
              <w:spacing w:line="560" w:lineRule="exact"/>
              <w:ind w:left="-105" w:leftChars="-50" w:right="-105" w:rightChars="-50"/>
              <w:jc w:val="center"/>
              <w:rPr>
                <w:rFonts w:eastAsia="仿宋_GB2312"/>
                <w:sz w:val="24"/>
              </w:rPr>
            </w:pPr>
            <w:r>
              <w:rPr>
                <w:rFonts w:hint="eastAsia" w:eastAsia="仿宋_GB2312"/>
                <w:sz w:val="24"/>
              </w:rPr>
              <w:t>水污染物</w:t>
            </w:r>
          </w:p>
        </w:tc>
        <w:tc>
          <w:tcPr>
            <w:tcW w:w="4282" w:type="dxa"/>
            <w:noWrap w:val="0"/>
            <w:vAlign w:val="center"/>
          </w:tcPr>
          <w:p>
            <w:pPr>
              <w:widowControl/>
              <w:spacing w:before="100" w:beforeAutospacing="1" w:after="100" w:afterAutospacing="1"/>
              <w:ind w:left="-105"/>
              <w:jc w:val="center"/>
              <w:rPr>
                <w:rFonts w:hint="eastAsia" w:eastAsia="仿宋_GB2312"/>
                <w:sz w:val="24"/>
                <w:lang w:val="en-US" w:eastAsia="zh-CN"/>
              </w:rPr>
            </w:pPr>
            <w:r>
              <w:rPr>
                <w:rFonts w:hint="eastAsia" w:eastAsia="仿宋_GB2312"/>
                <w:sz w:val="24"/>
                <w:lang w:val="en-US" w:eastAsia="zh-CN"/>
              </w:rPr>
              <w:t>污水处理站</w:t>
            </w:r>
          </w:p>
        </w:tc>
        <w:tc>
          <w:tcPr>
            <w:tcW w:w="1559" w:type="dxa"/>
            <w:noWrap w:val="0"/>
            <w:vAlign w:val="center"/>
          </w:tcPr>
          <w:p>
            <w:pPr>
              <w:widowControl/>
              <w:spacing w:before="100" w:beforeAutospacing="1" w:after="100" w:afterAutospacing="1"/>
              <w:ind w:left="-105"/>
              <w:jc w:val="center"/>
              <w:rPr>
                <w:rFonts w:hint="default" w:eastAsia="仿宋_GB2312"/>
                <w:sz w:val="24"/>
                <w:lang w:val="en-US" w:eastAsia="zh-CN"/>
              </w:rPr>
            </w:pPr>
            <w:r>
              <w:rPr>
                <w:rFonts w:hint="eastAsia" w:eastAsia="仿宋_GB2312"/>
                <w:sz w:val="24"/>
                <w:lang w:val="en-US" w:eastAsia="zh-CN"/>
              </w:rPr>
              <w:t>2002a</w:t>
            </w:r>
          </w:p>
        </w:tc>
        <w:tc>
          <w:tcPr>
            <w:tcW w:w="1701" w:type="dxa"/>
            <w:noWrap w:val="0"/>
            <w:vAlign w:val="center"/>
          </w:tcPr>
          <w:p>
            <w:pPr>
              <w:widowControl/>
              <w:spacing w:before="100" w:beforeAutospacing="1" w:after="100" w:afterAutospacing="1"/>
              <w:ind w:left="-105"/>
              <w:jc w:val="center"/>
              <w:rPr>
                <w:rFonts w:hint="default" w:eastAsia="仿宋_GB2312"/>
                <w:sz w:val="24"/>
                <w:lang w:val="en-US" w:eastAsia="zh-CN"/>
              </w:rPr>
            </w:pPr>
            <w:r>
              <w:rPr>
                <w:rFonts w:hint="eastAsia" w:eastAsia="仿宋_GB2312"/>
                <w:sz w:val="24"/>
                <w:lang w:val="en-US" w:eastAsia="zh-CN"/>
              </w:rPr>
              <w:t>70t/d</w:t>
            </w:r>
          </w:p>
        </w:tc>
        <w:tc>
          <w:tcPr>
            <w:tcW w:w="2126" w:type="dxa"/>
            <w:noWrap w:val="0"/>
            <w:vAlign w:val="center"/>
          </w:tcPr>
          <w:p>
            <w:pPr>
              <w:widowControl/>
              <w:spacing w:before="100" w:beforeAutospacing="1" w:after="100" w:afterAutospacing="1"/>
              <w:ind w:left="-105"/>
              <w:jc w:val="center"/>
              <w:rPr>
                <w:rFonts w:hint="eastAsia" w:eastAsia="仿宋_GB2312"/>
                <w:sz w:val="24"/>
                <w:lang w:val="en-US" w:eastAsia="zh-CN"/>
              </w:rPr>
            </w:pPr>
            <w:r>
              <w:rPr>
                <w:rFonts w:hint="eastAsia" w:eastAsia="仿宋_GB2312"/>
                <w:sz w:val="24"/>
                <w:lang w:val="en-US" w:eastAsia="zh-CN"/>
              </w:rPr>
              <w:t>正常</w:t>
            </w:r>
          </w:p>
        </w:tc>
        <w:tc>
          <w:tcPr>
            <w:tcW w:w="1927" w:type="dxa"/>
            <w:noWrap w:val="0"/>
            <w:vAlign w:val="center"/>
          </w:tcPr>
          <w:p>
            <w:pPr>
              <w:widowControl/>
              <w:spacing w:before="100" w:beforeAutospacing="1" w:after="100" w:afterAutospacing="1"/>
              <w:jc w:val="center"/>
              <w:rPr>
                <w:rFonts w:hint="default" w:eastAsia="仿宋_GB2312"/>
                <w:sz w:val="24"/>
                <w:lang w:val="en-US" w:eastAsia="zh-CN"/>
              </w:rPr>
            </w:pPr>
            <w:r>
              <w:rPr>
                <w:rFonts w:hint="eastAsia" w:eastAsia="仿宋_GB2312"/>
                <w:sz w:val="24"/>
                <w:lang w:val="en-US" w:eastAsia="zh-CN"/>
              </w:rPr>
              <w:t>自运维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noWrap w:val="0"/>
            <w:vAlign w:val="center"/>
          </w:tcPr>
          <w:p>
            <w:pPr>
              <w:widowControl/>
              <w:jc w:val="left"/>
              <w:rPr>
                <w:rFonts w:eastAsia="仿宋_GB2312"/>
                <w:sz w:val="24"/>
              </w:rPr>
            </w:pPr>
          </w:p>
        </w:tc>
        <w:tc>
          <w:tcPr>
            <w:tcW w:w="4282" w:type="dxa"/>
            <w:noWrap w:val="0"/>
            <w:vAlign w:val="center"/>
          </w:tcPr>
          <w:p>
            <w:pPr>
              <w:spacing w:line="560" w:lineRule="exact"/>
              <w:ind w:left="-105" w:leftChars="-50" w:right="-105" w:rightChars="-50"/>
              <w:jc w:val="center"/>
              <w:rPr>
                <w:rFonts w:eastAsia="仿宋_GB2312"/>
                <w:sz w:val="24"/>
              </w:rPr>
            </w:pPr>
          </w:p>
        </w:tc>
        <w:tc>
          <w:tcPr>
            <w:tcW w:w="1559" w:type="dxa"/>
            <w:noWrap w:val="0"/>
            <w:vAlign w:val="center"/>
          </w:tcPr>
          <w:p>
            <w:pPr>
              <w:spacing w:line="560" w:lineRule="exact"/>
              <w:ind w:left="-105" w:leftChars="-50" w:right="-105" w:rightChars="-50"/>
              <w:jc w:val="center"/>
              <w:rPr>
                <w:rFonts w:eastAsia="仿宋_GB2312"/>
                <w:sz w:val="24"/>
              </w:rPr>
            </w:pPr>
          </w:p>
        </w:tc>
        <w:tc>
          <w:tcPr>
            <w:tcW w:w="1701" w:type="dxa"/>
            <w:noWrap w:val="0"/>
            <w:vAlign w:val="center"/>
          </w:tcPr>
          <w:p>
            <w:pPr>
              <w:spacing w:line="560" w:lineRule="exact"/>
              <w:ind w:left="-105" w:leftChars="-50" w:right="-105" w:rightChars="-50"/>
              <w:jc w:val="center"/>
              <w:rPr>
                <w:rFonts w:eastAsia="仿宋_GB2312"/>
                <w:sz w:val="24"/>
              </w:rPr>
            </w:pPr>
          </w:p>
        </w:tc>
        <w:tc>
          <w:tcPr>
            <w:tcW w:w="2126" w:type="dxa"/>
            <w:noWrap w:val="0"/>
            <w:vAlign w:val="center"/>
          </w:tcPr>
          <w:p>
            <w:pPr>
              <w:spacing w:line="560" w:lineRule="exact"/>
              <w:ind w:left="-105" w:leftChars="-50" w:right="-105" w:rightChars="-50"/>
              <w:jc w:val="center"/>
              <w:rPr>
                <w:rFonts w:eastAsia="仿宋_GB2312"/>
                <w:sz w:val="24"/>
              </w:rPr>
            </w:pPr>
          </w:p>
        </w:tc>
        <w:tc>
          <w:tcPr>
            <w:tcW w:w="1927" w:type="dxa"/>
            <w:noWrap w:val="0"/>
            <w:vAlign w:val="center"/>
          </w:tcPr>
          <w:p>
            <w:pPr>
              <w:spacing w:line="560" w:lineRule="exact"/>
              <w:ind w:left="-105" w:leftChars="-50" w:right="-105" w:rightChar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noWrap w:val="0"/>
            <w:vAlign w:val="center"/>
          </w:tcPr>
          <w:p>
            <w:pPr>
              <w:widowControl/>
              <w:jc w:val="left"/>
              <w:rPr>
                <w:rFonts w:eastAsia="仿宋_GB2312"/>
                <w:sz w:val="24"/>
              </w:rPr>
            </w:pPr>
          </w:p>
        </w:tc>
        <w:tc>
          <w:tcPr>
            <w:tcW w:w="4282" w:type="dxa"/>
            <w:noWrap w:val="0"/>
            <w:vAlign w:val="center"/>
          </w:tcPr>
          <w:p>
            <w:pPr>
              <w:spacing w:line="560" w:lineRule="exact"/>
              <w:ind w:left="-105" w:leftChars="-50" w:right="-105" w:rightChars="-50"/>
              <w:jc w:val="center"/>
              <w:rPr>
                <w:rFonts w:eastAsia="仿宋_GB2312"/>
                <w:sz w:val="24"/>
              </w:rPr>
            </w:pPr>
            <w:r>
              <w:rPr>
                <w:rFonts w:eastAsia="仿宋_GB2312"/>
                <w:sz w:val="24"/>
              </w:rPr>
              <w:t>……</w:t>
            </w:r>
          </w:p>
        </w:tc>
        <w:tc>
          <w:tcPr>
            <w:tcW w:w="1559" w:type="dxa"/>
            <w:noWrap w:val="0"/>
            <w:vAlign w:val="center"/>
          </w:tcPr>
          <w:p>
            <w:pPr>
              <w:spacing w:line="560" w:lineRule="exact"/>
              <w:ind w:left="-105" w:leftChars="-50" w:right="-105" w:rightChars="-50"/>
              <w:jc w:val="center"/>
              <w:rPr>
                <w:rFonts w:eastAsia="仿宋_GB2312"/>
                <w:sz w:val="24"/>
              </w:rPr>
            </w:pPr>
          </w:p>
        </w:tc>
        <w:tc>
          <w:tcPr>
            <w:tcW w:w="1701" w:type="dxa"/>
            <w:noWrap w:val="0"/>
            <w:vAlign w:val="center"/>
          </w:tcPr>
          <w:p>
            <w:pPr>
              <w:spacing w:line="560" w:lineRule="exact"/>
              <w:ind w:left="-105" w:leftChars="-50" w:right="-105" w:rightChars="-50"/>
              <w:jc w:val="center"/>
              <w:rPr>
                <w:rFonts w:eastAsia="仿宋_GB2312"/>
                <w:sz w:val="24"/>
              </w:rPr>
            </w:pPr>
          </w:p>
        </w:tc>
        <w:tc>
          <w:tcPr>
            <w:tcW w:w="2126" w:type="dxa"/>
            <w:noWrap w:val="0"/>
            <w:vAlign w:val="center"/>
          </w:tcPr>
          <w:p>
            <w:pPr>
              <w:spacing w:line="560" w:lineRule="exact"/>
              <w:ind w:left="-105" w:leftChars="-50" w:right="-105" w:rightChars="-50"/>
              <w:jc w:val="center"/>
              <w:rPr>
                <w:rFonts w:eastAsia="仿宋_GB2312"/>
                <w:sz w:val="24"/>
              </w:rPr>
            </w:pPr>
          </w:p>
        </w:tc>
        <w:tc>
          <w:tcPr>
            <w:tcW w:w="1927" w:type="dxa"/>
            <w:noWrap w:val="0"/>
            <w:vAlign w:val="center"/>
          </w:tcPr>
          <w:p>
            <w:pPr>
              <w:spacing w:line="560" w:lineRule="exact"/>
              <w:ind w:left="-105" w:leftChars="-50" w:right="-105" w:rightChar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noWrap w:val="0"/>
            <w:vAlign w:val="center"/>
          </w:tcPr>
          <w:p>
            <w:pPr>
              <w:spacing w:line="560" w:lineRule="exact"/>
              <w:ind w:left="-105" w:leftChars="-50" w:right="-105" w:rightChars="-50"/>
              <w:jc w:val="center"/>
              <w:rPr>
                <w:rFonts w:eastAsia="仿宋_GB2312"/>
                <w:sz w:val="24"/>
              </w:rPr>
            </w:pPr>
            <w:r>
              <w:rPr>
                <w:rFonts w:hint="eastAsia" w:eastAsia="仿宋_GB2312"/>
                <w:sz w:val="24"/>
              </w:rPr>
              <w:t>大气污染物</w:t>
            </w:r>
          </w:p>
        </w:tc>
        <w:tc>
          <w:tcPr>
            <w:tcW w:w="4282" w:type="dxa"/>
            <w:noWrap w:val="0"/>
            <w:vAlign w:val="center"/>
          </w:tcPr>
          <w:p>
            <w:pPr>
              <w:spacing w:line="560" w:lineRule="exact"/>
              <w:ind w:left="-105" w:leftChars="-50" w:right="-105" w:rightChars="-50"/>
              <w:jc w:val="center"/>
              <w:rPr>
                <w:rFonts w:hint="default" w:ascii="Calibri" w:hAnsi="Calibri" w:eastAsia="仿宋_GB2312" w:cs="Times New Roman"/>
                <w:kern w:val="2"/>
                <w:sz w:val="24"/>
                <w:szCs w:val="22"/>
                <w:highlight w:val="yellow"/>
                <w:lang w:val="en-US" w:eastAsia="zh-CN" w:bidi="ar-SA"/>
              </w:rPr>
            </w:pPr>
            <w:r>
              <w:rPr>
                <w:rFonts w:hint="eastAsia" w:eastAsia="仿宋_GB2312"/>
                <w:sz w:val="24"/>
                <w:highlight w:val="none"/>
                <w:lang w:val="en-US" w:eastAsia="zh-CN"/>
              </w:rPr>
              <w:t>酸雾塔</w:t>
            </w:r>
          </w:p>
        </w:tc>
        <w:tc>
          <w:tcPr>
            <w:tcW w:w="1559" w:type="dxa"/>
            <w:noWrap w:val="0"/>
            <w:vAlign w:val="center"/>
          </w:tcPr>
          <w:p>
            <w:pPr>
              <w:spacing w:line="560" w:lineRule="exact"/>
              <w:ind w:left="-105" w:leftChars="-50" w:right="-105" w:rightChars="-50"/>
              <w:jc w:val="center"/>
              <w:rPr>
                <w:rFonts w:hint="default" w:ascii="Calibri" w:hAnsi="Calibri" w:eastAsia="仿宋_GB2312" w:cs="Times New Roman"/>
                <w:kern w:val="2"/>
                <w:sz w:val="24"/>
                <w:szCs w:val="22"/>
                <w:lang w:val="en-US" w:eastAsia="zh-CN" w:bidi="ar-SA"/>
              </w:rPr>
            </w:pPr>
            <w:r>
              <w:rPr>
                <w:rFonts w:hint="eastAsia" w:eastAsia="仿宋_GB2312"/>
                <w:sz w:val="24"/>
                <w:lang w:val="en-US" w:eastAsia="zh-CN"/>
              </w:rPr>
              <w:t>2017a</w:t>
            </w:r>
          </w:p>
        </w:tc>
        <w:tc>
          <w:tcPr>
            <w:tcW w:w="1701" w:type="dxa"/>
            <w:noWrap w:val="0"/>
            <w:vAlign w:val="center"/>
          </w:tcPr>
          <w:p>
            <w:pPr>
              <w:spacing w:line="560" w:lineRule="exact"/>
              <w:ind w:left="-105" w:leftChars="-50" w:right="-105" w:rightChars="-50"/>
              <w:jc w:val="center"/>
              <w:rPr>
                <w:rFonts w:hint="default" w:ascii="Calibri" w:hAnsi="Calibri" w:eastAsia="仿宋_GB2312" w:cs="Times New Roman"/>
                <w:kern w:val="2"/>
                <w:sz w:val="24"/>
                <w:szCs w:val="22"/>
                <w:lang w:val="en-US" w:eastAsia="zh-CN" w:bidi="ar-SA"/>
              </w:rPr>
            </w:pPr>
            <w:r>
              <w:rPr>
                <w:rFonts w:hint="eastAsia" w:eastAsia="仿宋_GB2312"/>
                <w:sz w:val="24"/>
                <w:lang w:val="en-US" w:eastAsia="zh-CN"/>
              </w:rPr>
              <w:t>3000m³/h</w:t>
            </w:r>
          </w:p>
        </w:tc>
        <w:tc>
          <w:tcPr>
            <w:tcW w:w="2126" w:type="dxa"/>
            <w:noWrap w:val="0"/>
            <w:vAlign w:val="center"/>
          </w:tcPr>
          <w:p>
            <w:pPr>
              <w:spacing w:line="560" w:lineRule="exact"/>
              <w:ind w:left="-105" w:leftChars="-50" w:right="-105" w:rightChars="-50"/>
              <w:jc w:val="center"/>
              <w:rPr>
                <w:rFonts w:hint="eastAsia" w:ascii="Calibri" w:hAnsi="Calibri" w:eastAsia="仿宋_GB2312" w:cs="Times New Roman"/>
                <w:kern w:val="2"/>
                <w:sz w:val="24"/>
                <w:szCs w:val="22"/>
                <w:lang w:val="en-US" w:eastAsia="zh-CN" w:bidi="ar-SA"/>
              </w:rPr>
            </w:pPr>
            <w:r>
              <w:rPr>
                <w:rFonts w:hint="eastAsia" w:eastAsia="仿宋_GB2312"/>
                <w:sz w:val="24"/>
                <w:lang w:val="en-US" w:eastAsia="zh-CN"/>
              </w:rPr>
              <w:t>正常</w:t>
            </w:r>
          </w:p>
        </w:tc>
        <w:tc>
          <w:tcPr>
            <w:tcW w:w="1927" w:type="dxa"/>
            <w:noWrap w:val="0"/>
            <w:vAlign w:val="center"/>
          </w:tcPr>
          <w:p>
            <w:pPr>
              <w:spacing w:line="560" w:lineRule="exact"/>
              <w:ind w:left="-105" w:leftChars="-50" w:right="-105" w:rightChars="-50"/>
              <w:jc w:val="center"/>
              <w:rPr>
                <w:rFonts w:ascii="Calibri" w:hAnsi="Calibri" w:eastAsia="仿宋_GB2312" w:cs="Times New Roman"/>
                <w:kern w:val="2"/>
                <w:sz w:val="24"/>
                <w:szCs w:val="22"/>
                <w:lang w:val="en-US" w:eastAsia="zh-CN" w:bidi="ar-SA"/>
              </w:rPr>
            </w:pPr>
            <w:r>
              <w:rPr>
                <w:rFonts w:hint="eastAsia" w:eastAsia="仿宋_GB2312"/>
                <w:sz w:val="24"/>
                <w:lang w:val="en-US" w:eastAsia="zh-CN"/>
              </w:rPr>
              <w:t>自运维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noWrap w:val="0"/>
            <w:vAlign w:val="center"/>
          </w:tcPr>
          <w:p>
            <w:pPr>
              <w:widowControl/>
              <w:jc w:val="left"/>
              <w:rPr>
                <w:rFonts w:eastAsia="仿宋_GB2312"/>
                <w:sz w:val="24"/>
              </w:rPr>
            </w:pPr>
          </w:p>
        </w:tc>
        <w:tc>
          <w:tcPr>
            <w:tcW w:w="4282" w:type="dxa"/>
            <w:noWrap w:val="0"/>
            <w:vAlign w:val="center"/>
          </w:tcPr>
          <w:p>
            <w:pPr>
              <w:spacing w:line="560" w:lineRule="exact"/>
              <w:ind w:left="-105" w:leftChars="-50" w:right="-105" w:rightChars="-50"/>
              <w:jc w:val="center"/>
              <w:rPr>
                <w:rFonts w:hint="default" w:eastAsia="仿宋_GB2312"/>
                <w:sz w:val="24"/>
                <w:highlight w:val="yellow"/>
                <w:lang w:val="en-US" w:eastAsia="zh-CN"/>
              </w:rPr>
            </w:pPr>
          </w:p>
        </w:tc>
        <w:tc>
          <w:tcPr>
            <w:tcW w:w="1559" w:type="dxa"/>
            <w:noWrap w:val="0"/>
            <w:vAlign w:val="center"/>
          </w:tcPr>
          <w:p>
            <w:pPr>
              <w:spacing w:line="560" w:lineRule="exact"/>
              <w:ind w:left="-105" w:leftChars="-50" w:right="-105" w:rightChars="-50"/>
              <w:jc w:val="center"/>
              <w:rPr>
                <w:rFonts w:hint="default" w:eastAsia="仿宋_GB2312"/>
                <w:sz w:val="24"/>
                <w:lang w:val="en-US" w:eastAsia="zh-CN"/>
              </w:rPr>
            </w:pPr>
          </w:p>
        </w:tc>
        <w:tc>
          <w:tcPr>
            <w:tcW w:w="1701" w:type="dxa"/>
            <w:noWrap w:val="0"/>
            <w:vAlign w:val="center"/>
          </w:tcPr>
          <w:p>
            <w:pPr>
              <w:spacing w:line="560" w:lineRule="exact"/>
              <w:ind w:left="-105" w:leftChars="-50" w:right="-105" w:rightChars="-50"/>
              <w:jc w:val="center"/>
              <w:rPr>
                <w:rFonts w:hint="default" w:eastAsia="仿宋_GB2312"/>
                <w:sz w:val="24"/>
                <w:lang w:val="en-US" w:eastAsia="zh-CN"/>
              </w:rPr>
            </w:pPr>
          </w:p>
        </w:tc>
        <w:tc>
          <w:tcPr>
            <w:tcW w:w="2126" w:type="dxa"/>
            <w:noWrap w:val="0"/>
            <w:vAlign w:val="center"/>
          </w:tcPr>
          <w:p>
            <w:pPr>
              <w:spacing w:line="560" w:lineRule="exact"/>
              <w:ind w:left="-105" w:leftChars="-50" w:right="-105" w:rightChars="-50"/>
              <w:jc w:val="center"/>
              <w:rPr>
                <w:rFonts w:hint="eastAsia" w:eastAsia="仿宋_GB2312"/>
                <w:sz w:val="24"/>
                <w:lang w:val="en-US" w:eastAsia="zh-CN"/>
              </w:rPr>
            </w:pPr>
          </w:p>
        </w:tc>
        <w:tc>
          <w:tcPr>
            <w:tcW w:w="1927" w:type="dxa"/>
            <w:noWrap w:val="0"/>
            <w:vAlign w:val="center"/>
          </w:tcPr>
          <w:p>
            <w:pPr>
              <w:tabs>
                <w:tab w:val="center" w:pos="915"/>
                <w:tab w:val="right" w:pos="1816"/>
              </w:tabs>
              <w:spacing w:line="560" w:lineRule="exact"/>
              <w:ind w:left="-105" w:leftChars="-50" w:right="-105" w:rightChars="-50"/>
              <w:jc w:val="left"/>
              <w:rPr>
                <w:rFonts w:eastAsia="仿宋_GB2312"/>
                <w:sz w:val="24"/>
              </w:rPr>
            </w:pPr>
            <w:r>
              <w:rPr>
                <w:rFonts w:hint="eastAsia" w:eastAsia="仿宋_GB2312"/>
                <w:sz w:val="24"/>
                <w:lang w:val="en-US"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noWrap w:val="0"/>
            <w:vAlign w:val="center"/>
          </w:tcPr>
          <w:p>
            <w:pPr>
              <w:widowControl/>
              <w:jc w:val="left"/>
              <w:rPr>
                <w:rFonts w:eastAsia="仿宋_GB2312"/>
                <w:sz w:val="24"/>
              </w:rPr>
            </w:pPr>
          </w:p>
        </w:tc>
        <w:tc>
          <w:tcPr>
            <w:tcW w:w="4282" w:type="dxa"/>
            <w:noWrap w:val="0"/>
            <w:vAlign w:val="center"/>
          </w:tcPr>
          <w:p>
            <w:pPr>
              <w:spacing w:line="560" w:lineRule="exact"/>
              <w:ind w:left="-105" w:leftChars="-50" w:right="-105" w:rightChars="-50"/>
              <w:jc w:val="center"/>
              <w:rPr>
                <w:rFonts w:hint="default" w:eastAsia="仿宋_GB2312"/>
                <w:sz w:val="24"/>
                <w:highlight w:val="yellow"/>
                <w:lang w:val="en-US" w:eastAsia="zh-CN"/>
              </w:rPr>
            </w:pPr>
          </w:p>
        </w:tc>
        <w:tc>
          <w:tcPr>
            <w:tcW w:w="1559" w:type="dxa"/>
            <w:noWrap w:val="0"/>
            <w:vAlign w:val="center"/>
          </w:tcPr>
          <w:p>
            <w:pPr>
              <w:spacing w:line="560" w:lineRule="exact"/>
              <w:ind w:left="-105" w:leftChars="-50" w:right="-105" w:rightChars="-50"/>
              <w:jc w:val="center"/>
              <w:rPr>
                <w:rFonts w:hint="default" w:eastAsia="仿宋_GB2312"/>
                <w:sz w:val="24"/>
                <w:lang w:val="en-US" w:eastAsia="zh-CN"/>
              </w:rPr>
            </w:pPr>
          </w:p>
        </w:tc>
        <w:tc>
          <w:tcPr>
            <w:tcW w:w="1701" w:type="dxa"/>
            <w:noWrap w:val="0"/>
            <w:vAlign w:val="center"/>
          </w:tcPr>
          <w:p>
            <w:pPr>
              <w:spacing w:line="560" w:lineRule="exact"/>
              <w:ind w:left="-105" w:leftChars="-50" w:right="-105" w:rightChars="-50"/>
              <w:jc w:val="center"/>
              <w:rPr>
                <w:rFonts w:eastAsia="仿宋_GB2312"/>
                <w:sz w:val="24"/>
              </w:rPr>
            </w:pPr>
          </w:p>
        </w:tc>
        <w:tc>
          <w:tcPr>
            <w:tcW w:w="2126" w:type="dxa"/>
            <w:noWrap w:val="0"/>
            <w:vAlign w:val="center"/>
          </w:tcPr>
          <w:p>
            <w:pPr>
              <w:spacing w:line="560" w:lineRule="exact"/>
              <w:ind w:left="-105" w:leftChars="-50" w:right="-105" w:rightChars="-50"/>
              <w:jc w:val="center"/>
              <w:rPr>
                <w:rFonts w:hint="eastAsia" w:eastAsia="仿宋_GB2312"/>
                <w:sz w:val="24"/>
                <w:lang w:val="en-US" w:eastAsia="zh-CN"/>
              </w:rPr>
            </w:pPr>
          </w:p>
        </w:tc>
        <w:tc>
          <w:tcPr>
            <w:tcW w:w="1927" w:type="dxa"/>
            <w:noWrap w:val="0"/>
            <w:vAlign w:val="center"/>
          </w:tcPr>
          <w:p>
            <w:pPr>
              <w:spacing w:line="560" w:lineRule="exact"/>
              <w:ind w:left="-105" w:leftChars="-50" w:right="-105" w:rightChar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noWrap w:val="0"/>
            <w:vAlign w:val="center"/>
          </w:tcPr>
          <w:p>
            <w:pPr>
              <w:spacing w:line="560" w:lineRule="exact"/>
              <w:ind w:left="-105" w:leftChars="-50" w:right="-105" w:rightChars="-50"/>
              <w:jc w:val="center"/>
              <w:rPr>
                <w:rFonts w:eastAsia="仿宋_GB2312"/>
                <w:sz w:val="24"/>
              </w:rPr>
            </w:pPr>
            <w:r>
              <w:rPr>
                <w:rFonts w:hint="eastAsia" w:eastAsia="仿宋_GB2312"/>
                <w:sz w:val="24"/>
              </w:rPr>
              <w:t>固体废物</w:t>
            </w:r>
          </w:p>
        </w:tc>
        <w:tc>
          <w:tcPr>
            <w:tcW w:w="4282" w:type="dxa"/>
            <w:noWrap w:val="0"/>
            <w:vAlign w:val="center"/>
          </w:tcPr>
          <w:p>
            <w:pPr>
              <w:spacing w:line="560" w:lineRule="exact"/>
              <w:ind w:left="-105" w:leftChars="-50" w:right="-105" w:rightChars="-50"/>
              <w:jc w:val="center"/>
              <w:rPr>
                <w:rFonts w:hint="default" w:eastAsia="仿宋_GB2312"/>
                <w:sz w:val="24"/>
                <w:lang w:val="en-US" w:eastAsia="zh-CN"/>
              </w:rPr>
            </w:pPr>
            <w:r>
              <w:rPr>
                <w:rFonts w:hint="eastAsia" w:eastAsia="仿宋_GB2312"/>
                <w:sz w:val="24"/>
                <w:lang w:val="en-US" w:eastAsia="zh-CN"/>
              </w:rPr>
              <w:t>危险废物贮存室</w:t>
            </w:r>
          </w:p>
        </w:tc>
        <w:tc>
          <w:tcPr>
            <w:tcW w:w="1559" w:type="dxa"/>
            <w:noWrap w:val="0"/>
            <w:vAlign w:val="center"/>
          </w:tcPr>
          <w:p>
            <w:pPr>
              <w:spacing w:line="560" w:lineRule="exact"/>
              <w:ind w:left="-105" w:leftChars="-50" w:right="-105" w:rightChars="-50"/>
              <w:jc w:val="center"/>
              <w:rPr>
                <w:rFonts w:hint="default" w:eastAsia="仿宋_GB2312"/>
                <w:sz w:val="24"/>
                <w:lang w:val="en-US" w:eastAsia="zh-CN"/>
              </w:rPr>
            </w:pPr>
            <w:r>
              <w:rPr>
                <w:rFonts w:hint="eastAsia" w:eastAsia="仿宋_GB2312"/>
                <w:sz w:val="24"/>
                <w:lang w:val="en-US" w:eastAsia="zh-CN"/>
              </w:rPr>
              <w:t>2002a</w:t>
            </w:r>
          </w:p>
        </w:tc>
        <w:tc>
          <w:tcPr>
            <w:tcW w:w="1701" w:type="dxa"/>
            <w:noWrap w:val="0"/>
            <w:vAlign w:val="center"/>
          </w:tcPr>
          <w:p>
            <w:pPr>
              <w:spacing w:line="560" w:lineRule="exact"/>
              <w:ind w:left="-105" w:leftChars="-50" w:right="-105" w:rightChars="-50"/>
              <w:jc w:val="center"/>
              <w:rPr>
                <w:rFonts w:hint="default" w:eastAsia="仿宋_GB2312"/>
                <w:sz w:val="24"/>
                <w:lang w:val="en-US" w:eastAsia="zh-CN"/>
              </w:rPr>
            </w:pPr>
            <w:r>
              <w:rPr>
                <w:rFonts w:hint="eastAsia" w:eastAsia="仿宋_GB2312"/>
                <w:sz w:val="24"/>
                <w:lang w:val="en-US" w:eastAsia="zh-CN"/>
              </w:rPr>
              <w:t>30t</w:t>
            </w:r>
          </w:p>
        </w:tc>
        <w:tc>
          <w:tcPr>
            <w:tcW w:w="2126" w:type="dxa"/>
            <w:noWrap w:val="0"/>
            <w:vAlign w:val="center"/>
          </w:tcPr>
          <w:p>
            <w:pPr>
              <w:spacing w:line="560" w:lineRule="exact"/>
              <w:ind w:right="-105" w:rightChars="-50" w:firstLine="720" w:firstLineChars="300"/>
              <w:jc w:val="both"/>
              <w:rPr>
                <w:rFonts w:hint="default" w:eastAsia="仿宋_GB2312"/>
                <w:sz w:val="24"/>
                <w:lang w:val="en-US" w:eastAsia="zh-CN"/>
              </w:rPr>
            </w:pPr>
            <w:r>
              <w:rPr>
                <w:rFonts w:hint="eastAsia" w:eastAsia="仿宋_GB2312"/>
                <w:sz w:val="24"/>
                <w:lang w:val="en-US" w:eastAsia="zh-CN"/>
              </w:rPr>
              <w:t>正常</w:t>
            </w:r>
          </w:p>
        </w:tc>
        <w:tc>
          <w:tcPr>
            <w:tcW w:w="1927" w:type="dxa"/>
            <w:noWrap w:val="0"/>
            <w:vAlign w:val="center"/>
          </w:tcPr>
          <w:p>
            <w:pPr>
              <w:spacing w:line="560" w:lineRule="exact"/>
              <w:ind w:left="-105" w:leftChars="-50" w:right="-105" w:rightChars="-50"/>
              <w:jc w:val="center"/>
              <w:rPr>
                <w:rFonts w:eastAsia="仿宋_GB2312"/>
                <w:sz w:val="24"/>
              </w:rPr>
            </w:pPr>
            <w:r>
              <w:rPr>
                <w:rFonts w:hint="eastAsia" w:eastAsia="仿宋_GB2312"/>
                <w:sz w:val="24"/>
                <w:lang w:val="en-US" w:eastAsia="zh-CN"/>
              </w:rPr>
              <w:t>自运维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noWrap w:val="0"/>
            <w:vAlign w:val="center"/>
          </w:tcPr>
          <w:p>
            <w:pPr>
              <w:widowControl/>
              <w:jc w:val="left"/>
              <w:rPr>
                <w:rFonts w:eastAsia="仿宋_GB2312"/>
                <w:sz w:val="24"/>
              </w:rPr>
            </w:pPr>
          </w:p>
        </w:tc>
        <w:tc>
          <w:tcPr>
            <w:tcW w:w="4282" w:type="dxa"/>
            <w:noWrap w:val="0"/>
            <w:vAlign w:val="center"/>
          </w:tcPr>
          <w:p>
            <w:pPr>
              <w:spacing w:line="560" w:lineRule="exact"/>
              <w:ind w:left="-105" w:leftChars="-50" w:right="-105" w:rightChars="-50"/>
              <w:jc w:val="center"/>
              <w:rPr>
                <w:rFonts w:hint="default" w:eastAsia="仿宋_GB2312"/>
                <w:sz w:val="24"/>
                <w:lang w:val="en-US" w:eastAsia="zh-CN"/>
              </w:rPr>
            </w:pPr>
            <w:r>
              <w:rPr>
                <w:rFonts w:hint="eastAsia" w:eastAsia="仿宋_GB2312"/>
                <w:sz w:val="24"/>
                <w:lang w:val="en-US" w:eastAsia="zh-CN"/>
              </w:rPr>
              <w:t>危险废物贮存室2</w:t>
            </w:r>
          </w:p>
        </w:tc>
        <w:tc>
          <w:tcPr>
            <w:tcW w:w="1559" w:type="dxa"/>
            <w:noWrap w:val="0"/>
            <w:vAlign w:val="center"/>
          </w:tcPr>
          <w:p>
            <w:pPr>
              <w:spacing w:line="560" w:lineRule="exact"/>
              <w:ind w:left="-105" w:leftChars="-50" w:right="-105" w:rightChars="-50"/>
              <w:jc w:val="center"/>
              <w:rPr>
                <w:rFonts w:hint="default" w:eastAsia="仿宋_GB2312"/>
                <w:sz w:val="24"/>
                <w:lang w:val="en-US" w:eastAsia="zh-CN"/>
              </w:rPr>
            </w:pPr>
            <w:r>
              <w:rPr>
                <w:rFonts w:hint="eastAsia" w:eastAsia="仿宋_GB2312"/>
                <w:sz w:val="24"/>
                <w:lang w:val="en-US" w:eastAsia="zh-CN"/>
              </w:rPr>
              <w:t>2002a</w:t>
            </w:r>
          </w:p>
        </w:tc>
        <w:tc>
          <w:tcPr>
            <w:tcW w:w="1701" w:type="dxa"/>
            <w:noWrap w:val="0"/>
            <w:vAlign w:val="center"/>
          </w:tcPr>
          <w:p>
            <w:pPr>
              <w:spacing w:line="560" w:lineRule="exact"/>
              <w:ind w:left="-105" w:leftChars="-50" w:right="-105" w:rightChars="-50"/>
              <w:jc w:val="center"/>
              <w:rPr>
                <w:rFonts w:hint="default" w:eastAsia="仿宋_GB2312"/>
                <w:sz w:val="24"/>
                <w:lang w:val="en-US" w:eastAsia="zh-CN"/>
              </w:rPr>
            </w:pPr>
            <w:r>
              <w:rPr>
                <w:rFonts w:hint="eastAsia" w:eastAsia="仿宋_GB2312"/>
                <w:sz w:val="24"/>
                <w:lang w:val="en-US" w:eastAsia="zh-CN"/>
              </w:rPr>
              <w:t>7t</w:t>
            </w:r>
          </w:p>
        </w:tc>
        <w:tc>
          <w:tcPr>
            <w:tcW w:w="2126" w:type="dxa"/>
            <w:noWrap w:val="0"/>
            <w:vAlign w:val="center"/>
          </w:tcPr>
          <w:p>
            <w:pPr>
              <w:spacing w:line="560" w:lineRule="exact"/>
              <w:ind w:left="-105" w:leftChars="-50" w:right="-105" w:rightChars="-50"/>
              <w:jc w:val="center"/>
              <w:rPr>
                <w:rFonts w:hint="default" w:eastAsia="仿宋_GB2312"/>
                <w:sz w:val="24"/>
                <w:lang w:val="en-US" w:eastAsia="zh-CN"/>
              </w:rPr>
            </w:pPr>
            <w:r>
              <w:rPr>
                <w:rFonts w:hint="eastAsia" w:eastAsia="仿宋_GB2312"/>
                <w:sz w:val="24"/>
                <w:lang w:val="en-US" w:eastAsia="zh-CN"/>
              </w:rPr>
              <w:t>正常</w:t>
            </w:r>
          </w:p>
        </w:tc>
        <w:tc>
          <w:tcPr>
            <w:tcW w:w="1927" w:type="dxa"/>
            <w:noWrap w:val="0"/>
            <w:vAlign w:val="center"/>
          </w:tcPr>
          <w:p>
            <w:pPr>
              <w:spacing w:line="560" w:lineRule="exact"/>
              <w:ind w:left="-105" w:leftChars="-50" w:right="-105" w:rightChars="-50"/>
              <w:jc w:val="center"/>
              <w:rPr>
                <w:rFonts w:hint="eastAsia" w:eastAsia="仿宋_GB2312"/>
                <w:sz w:val="24"/>
                <w:lang w:val="en-US" w:eastAsia="zh-CN"/>
              </w:rPr>
            </w:pPr>
            <w:r>
              <w:rPr>
                <w:rFonts w:hint="eastAsia" w:eastAsia="仿宋_GB2312"/>
                <w:sz w:val="24"/>
                <w:lang w:val="en-US" w:eastAsia="zh-CN"/>
              </w:rPr>
              <w:t>自运维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noWrap w:val="0"/>
            <w:vAlign w:val="center"/>
          </w:tcPr>
          <w:p>
            <w:pPr>
              <w:widowControl/>
              <w:jc w:val="left"/>
              <w:rPr>
                <w:rFonts w:eastAsia="仿宋_GB2312"/>
                <w:sz w:val="24"/>
              </w:rPr>
            </w:pPr>
          </w:p>
        </w:tc>
        <w:tc>
          <w:tcPr>
            <w:tcW w:w="4282" w:type="dxa"/>
            <w:noWrap w:val="0"/>
            <w:vAlign w:val="center"/>
          </w:tcPr>
          <w:p>
            <w:pPr>
              <w:spacing w:line="560" w:lineRule="exact"/>
              <w:ind w:left="-105" w:leftChars="-50" w:right="-105" w:rightChars="-50"/>
              <w:jc w:val="center"/>
              <w:rPr>
                <w:rFonts w:eastAsia="仿宋_GB2312"/>
                <w:sz w:val="24"/>
              </w:rPr>
            </w:pPr>
            <w:r>
              <w:rPr>
                <w:rFonts w:eastAsia="仿宋_GB2312"/>
                <w:sz w:val="24"/>
              </w:rPr>
              <w:t>……</w:t>
            </w:r>
          </w:p>
        </w:tc>
        <w:tc>
          <w:tcPr>
            <w:tcW w:w="1559" w:type="dxa"/>
            <w:noWrap w:val="0"/>
            <w:vAlign w:val="center"/>
          </w:tcPr>
          <w:p>
            <w:pPr>
              <w:spacing w:line="560" w:lineRule="exact"/>
              <w:ind w:left="-105" w:leftChars="-50" w:right="-105" w:rightChars="-50"/>
              <w:jc w:val="center"/>
              <w:rPr>
                <w:rFonts w:eastAsia="仿宋_GB2312"/>
                <w:sz w:val="24"/>
              </w:rPr>
            </w:pPr>
          </w:p>
        </w:tc>
        <w:tc>
          <w:tcPr>
            <w:tcW w:w="1701" w:type="dxa"/>
            <w:noWrap w:val="0"/>
            <w:vAlign w:val="center"/>
          </w:tcPr>
          <w:p>
            <w:pPr>
              <w:spacing w:line="560" w:lineRule="exact"/>
              <w:ind w:left="-105" w:leftChars="-50" w:right="-105" w:rightChars="-50"/>
              <w:jc w:val="center"/>
              <w:rPr>
                <w:rFonts w:eastAsia="仿宋_GB2312"/>
                <w:sz w:val="24"/>
              </w:rPr>
            </w:pPr>
          </w:p>
        </w:tc>
        <w:tc>
          <w:tcPr>
            <w:tcW w:w="2126" w:type="dxa"/>
            <w:noWrap w:val="0"/>
            <w:vAlign w:val="center"/>
          </w:tcPr>
          <w:p>
            <w:pPr>
              <w:spacing w:line="560" w:lineRule="exact"/>
              <w:ind w:left="-105" w:leftChars="-50" w:right="-105" w:rightChars="-50"/>
              <w:jc w:val="center"/>
              <w:rPr>
                <w:rFonts w:eastAsia="仿宋_GB2312"/>
                <w:sz w:val="24"/>
              </w:rPr>
            </w:pPr>
          </w:p>
        </w:tc>
        <w:tc>
          <w:tcPr>
            <w:tcW w:w="1927" w:type="dxa"/>
            <w:noWrap w:val="0"/>
            <w:vAlign w:val="center"/>
          </w:tcPr>
          <w:p>
            <w:pPr>
              <w:spacing w:line="560" w:lineRule="exact"/>
              <w:ind w:left="-105" w:leftChars="-50" w:right="-105" w:rightChar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60" w:type="dxa"/>
            <w:vMerge w:val="restart"/>
            <w:noWrap w:val="0"/>
            <w:vAlign w:val="center"/>
          </w:tcPr>
          <w:p>
            <w:pPr>
              <w:spacing w:line="560" w:lineRule="exact"/>
              <w:ind w:left="-105" w:leftChars="-50" w:right="-105" w:rightChars="-50"/>
              <w:jc w:val="center"/>
              <w:rPr>
                <w:rFonts w:eastAsia="仿宋_GB2312"/>
                <w:sz w:val="24"/>
              </w:rPr>
            </w:pPr>
            <w:r>
              <w:rPr>
                <w:rFonts w:hint="eastAsia" w:eastAsia="仿宋_GB2312"/>
                <w:sz w:val="24"/>
              </w:rPr>
              <w:t>噪声</w:t>
            </w:r>
          </w:p>
        </w:tc>
        <w:tc>
          <w:tcPr>
            <w:tcW w:w="4282" w:type="dxa"/>
            <w:noWrap w:val="0"/>
            <w:vAlign w:val="center"/>
          </w:tcPr>
          <w:p>
            <w:pPr>
              <w:spacing w:line="560" w:lineRule="exact"/>
              <w:ind w:left="-105" w:leftChars="-50" w:right="-105" w:rightChars="-50"/>
              <w:jc w:val="center"/>
              <w:rPr>
                <w:rFonts w:eastAsia="仿宋_GB2312"/>
                <w:sz w:val="24"/>
              </w:rPr>
            </w:pPr>
          </w:p>
        </w:tc>
        <w:tc>
          <w:tcPr>
            <w:tcW w:w="1559" w:type="dxa"/>
            <w:noWrap w:val="0"/>
            <w:vAlign w:val="center"/>
          </w:tcPr>
          <w:p>
            <w:pPr>
              <w:spacing w:line="560" w:lineRule="exact"/>
              <w:ind w:left="-105" w:leftChars="-50" w:right="-105" w:rightChars="-50"/>
              <w:jc w:val="center"/>
              <w:rPr>
                <w:rFonts w:eastAsia="仿宋_GB2312"/>
                <w:sz w:val="24"/>
              </w:rPr>
            </w:pPr>
          </w:p>
        </w:tc>
        <w:tc>
          <w:tcPr>
            <w:tcW w:w="1701" w:type="dxa"/>
            <w:noWrap w:val="0"/>
            <w:vAlign w:val="center"/>
          </w:tcPr>
          <w:p>
            <w:pPr>
              <w:spacing w:line="560" w:lineRule="exact"/>
              <w:ind w:left="-105" w:leftChars="-50" w:right="-105" w:rightChars="-50"/>
              <w:jc w:val="center"/>
              <w:rPr>
                <w:rFonts w:eastAsia="仿宋_GB2312"/>
                <w:sz w:val="24"/>
              </w:rPr>
            </w:pPr>
          </w:p>
        </w:tc>
        <w:tc>
          <w:tcPr>
            <w:tcW w:w="2126" w:type="dxa"/>
            <w:noWrap w:val="0"/>
            <w:vAlign w:val="center"/>
          </w:tcPr>
          <w:p>
            <w:pPr>
              <w:spacing w:line="560" w:lineRule="exact"/>
              <w:ind w:left="-105" w:leftChars="-50" w:right="-105" w:rightChars="-50"/>
              <w:jc w:val="center"/>
              <w:rPr>
                <w:rFonts w:eastAsia="仿宋_GB2312"/>
                <w:sz w:val="24"/>
              </w:rPr>
            </w:pPr>
          </w:p>
        </w:tc>
        <w:tc>
          <w:tcPr>
            <w:tcW w:w="1927" w:type="dxa"/>
            <w:noWrap w:val="0"/>
            <w:vAlign w:val="center"/>
          </w:tcPr>
          <w:p>
            <w:pPr>
              <w:spacing w:line="560" w:lineRule="exact"/>
              <w:ind w:left="-105" w:leftChars="-50" w:right="-105" w:rightChar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560" w:type="dxa"/>
            <w:vMerge w:val="continue"/>
            <w:noWrap w:val="0"/>
            <w:vAlign w:val="center"/>
          </w:tcPr>
          <w:p>
            <w:pPr>
              <w:widowControl/>
              <w:jc w:val="left"/>
              <w:rPr>
                <w:rFonts w:eastAsia="仿宋_GB2312"/>
                <w:sz w:val="24"/>
              </w:rPr>
            </w:pPr>
          </w:p>
        </w:tc>
        <w:tc>
          <w:tcPr>
            <w:tcW w:w="4282" w:type="dxa"/>
            <w:noWrap w:val="0"/>
            <w:vAlign w:val="center"/>
          </w:tcPr>
          <w:p>
            <w:pPr>
              <w:spacing w:line="560" w:lineRule="exact"/>
              <w:ind w:left="-105" w:leftChars="-50" w:right="-105" w:rightChars="-50"/>
              <w:jc w:val="center"/>
              <w:rPr>
                <w:rFonts w:eastAsia="仿宋_GB2312"/>
                <w:sz w:val="24"/>
              </w:rPr>
            </w:pPr>
            <w:r>
              <w:rPr>
                <w:rFonts w:eastAsia="仿宋_GB2312"/>
                <w:sz w:val="24"/>
              </w:rPr>
              <w:t>……</w:t>
            </w:r>
          </w:p>
        </w:tc>
        <w:tc>
          <w:tcPr>
            <w:tcW w:w="1559" w:type="dxa"/>
            <w:noWrap w:val="0"/>
            <w:vAlign w:val="center"/>
          </w:tcPr>
          <w:p>
            <w:pPr>
              <w:spacing w:line="560" w:lineRule="exact"/>
              <w:ind w:left="-105" w:leftChars="-50" w:right="-105" w:rightChars="-50"/>
              <w:jc w:val="center"/>
              <w:rPr>
                <w:rFonts w:eastAsia="仿宋_GB2312"/>
                <w:sz w:val="24"/>
              </w:rPr>
            </w:pPr>
          </w:p>
        </w:tc>
        <w:tc>
          <w:tcPr>
            <w:tcW w:w="1701" w:type="dxa"/>
            <w:noWrap w:val="0"/>
            <w:vAlign w:val="center"/>
          </w:tcPr>
          <w:p>
            <w:pPr>
              <w:spacing w:line="560" w:lineRule="exact"/>
              <w:ind w:left="-105" w:leftChars="-50" w:right="-105" w:rightChars="-50"/>
              <w:jc w:val="center"/>
              <w:rPr>
                <w:rFonts w:eastAsia="仿宋_GB2312"/>
                <w:sz w:val="24"/>
              </w:rPr>
            </w:pPr>
          </w:p>
        </w:tc>
        <w:tc>
          <w:tcPr>
            <w:tcW w:w="2126" w:type="dxa"/>
            <w:noWrap w:val="0"/>
            <w:vAlign w:val="center"/>
          </w:tcPr>
          <w:p>
            <w:pPr>
              <w:spacing w:line="560" w:lineRule="exact"/>
              <w:ind w:left="-105" w:leftChars="-50" w:right="-105" w:rightChars="-50"/>
              <w:jc w:val="center"/>
              <w:rPr>
                <w:rFonts w:eastAsia="仿宋_GB2312"/>
                <w:sz w:val="24"/>
              </w:rPr>
            </w:pPr>
          </w:p>
        </w:tc>
        <w:tc>
          <w:tcPr>
            <w:tcW w:w="1927" w:type="dxa"/>
            <w:noWrap w:val="0"/>
            <w:vAlign w:val="center"/>
          </w:tcPr>
          <w:p>
            <w:pPr>
              <w:spacing w:line="560" w:lineRule="exact"/>
              <w:ind w:left="-105" w:leftChars="-50" w:right="-105" w:rightChar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560" w:type="dxa"/>
            <w:noWrap w:val="0"/>
            <w:vAlign w:val="center"/>
          </w:tcPr>
          <w:p>
            <w:pPr>
              <w:spacing w:line="560" w:lineRule="exact"/>
              <w:ind w:left="-105" w:leftChars="-50" w:right="-105" w:rightChars="-50"/>
              <w:jc w:val="center"/>
              <w:rPr>
                <w:rFonts w:eastAsia="仿宋_GB2312"/>
                <w:sz w:val="24"/>
              </w:rPr>
            </w:pPr>
            <w:r>
              <w:rPr>
                <w:rFonts w:hint="eastAsia" w:eastAsia="仿宋_GB2312"/>
                <w:sz w:val="24"/>
              </w:rPr>
              <w:t>其他</w:t>
            </w:r>
          </w:p>
        </w:tc>
        <w:tc>
          <w:tcPr>
            <w:tcW w:w="4282" w:type="dxa"/>
            <w:noWrap w:val="0"/>
            <w:vAlign w:val="center"/>
          </w:tcPr>
          <w:p>
            <w:pPr>
              <w:spacing w:line="560" w:lineRule="exact"/>
              <w:ind w:left="-105" w:leftChars="-50" w:right="-105" w:rightChars="-50"/>
              <w:jc w:val="center"/>
              <w:rPr>
                <w:rFonts w:eastAsia="仿宋_GB2312"/>
                <w:sz w:val="24"/>
              </w:rPr>
            </w:pPr>
          </w:p>
        </w:tc>
        <w:tc>
          <w:tcPr>
            <w:tcW w:w="1559" w:type="dxa"/>
            <w:noWrap w:val="0"/>
            <w:vAlign w:val="center"/>
          </w:tcPr>
          <w:p>
            <w:pPr>
              <w:spacing w:line="560" w:lineRule="exact"/>
              <w:ind w:left="-105" w:leftChars="-50" w:right="-105" w:rightChars="-50"/>
              <w:jc w:val="center"/>
              <w:rPr>
                <w:rFonts w:eastAsia="仿宋_GB2312"/>
                <w:sz w:val="24"/>
              </w:rPr>
            </w:pPr>
          </w:p>
        </w:tc>
        <w:tc>
          <w:tcPr>
            <w:tcW w:w="1701" w:type="dxa"/>
            <w:noWrap w:val="0"/>
            <w:vAlign w:val="center"/>
          </w:tcPr>
          <w:p>
            <w:pPr>
              <w:spacing w:line="560" w:lineRule="exact"/>
              <w:ind w:left="-105" w:leftChars="-50" w:right="-105" w:rightChars="-50"/>
              <w:jc w:val="center"/>
              <w:rPr>
                <w:rFonts w:eastAsia="仿宋_GB2312"/>
                <w:sz w:val="24"/>
              </w:rPr>
            </w:pPr>
          </w:p>
        </w:tc>
        <w:tc>
          <w:tcPr>
            <w:tcW w:w="2126" w:type="dxa"/>
            <w:noWrap w:val="0"/>
            <w:vAlign w:val="center"/>
          </w:tcPr>
          <w:p>
            <w:pPr>
              <w:spacing w:line="560" w:lineRule="exact"/>
              <w:ind w:left="-105" w:leftChars="-50" w:right="-105" w:rightChars="-50"/>
              <w:jc w:val="center"/>
              <w:rPr>
                <w:rFonts w:eastAsia="仿宋_GB2312"/>
                <w:sz w:val="24"/>
              </w:rPr>
            </w:pPr>
          </w:p>
        </w:tc>
        <w:tc>
          <w:tcPr>
            <w:tcW w:w="1927" w:type="dxa"/>
            <w:noWrap w:val="0"/>
            <w:vAlign w:val="center"/>
          </w:tcPr>
          <w:p>
            <w:pPr>
              <w:spacing w:line="560" w:lineRule="exact"/>
              <w:ind w:left="-105" w:leftChars="-50" w:right="-105" w:rightChar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560" w:type="dxa"/>
            <w:noWrap w:val="0"/>
            <w:vAlign w:val="center"/>
          </w:tcPr>
          <w:p>
            <w:pPr>
              <w:spacing w:line="560" w:lineRule="exact"/>
              <w:ind w:left="-105" w:leftChars="-50" w:right="-105" w:rightChars="-50"/>
              <w:jc w:val="center"/>
              <w:rPr>
                <w:rFonts w:hint="eastAsia" w:eastAsia="仿宋_GB2312"/>
                <w:sz w:val="24"/>
              </w:rPr>
            </w:pPr>
          </w:p>
        </w:tc>
        <w:tc>
          <w:tcPr>
            <w:tcW w:w="4282" w:type="dxa"/>
            <w:noWrap w:val="0"/>
            <w:vAlign w:val="center"/>
          </w:tcPr>
          <w:p>
            <w:pPr>
              <w:spacing w:line="560" w:lineRule="exact"/>
              <w:ind w:left="-105" w:leftChars="-50" w:right="-105" w:rightChars="-50"/>
              <w:jc w:val="center"/>
              <w:rPr>
                <w:rFonts w:eastAsia="仿宋_GB2312"/>
                <w:sz w:val="24"/>
              </w:rPr>
            </w:pPr>
          </w:p>
        </w:tc>
        <w:tc>
          <w:tcPr>
            <w:tcW w:w="1559" w:type="dxa"/>
            <w:noWrap w:val="0"/>
            <w:vAlign w:val="center"/>
          </w:tcPr>
          <w:p>
            <w:pPr>
              <w:spacing w:line="560" w:lineRule="exact"/>
              <w:ind w:left="-105" w:leftChars="-50" w:right="-105" w:rightChars="-50"/>
              <w:jc w:val="center"/>
              <w:rPr>
                <w:rFonts w:eastAsia="仿宋_GB2312"/>
                <w:sz w:val="24"/>
              </w:rPr>
            </w:pPr>
          </w:p>
        </w:tc>
        <w:tc>
          <w:tcPr>
            <w:tcW w:w="1701" w:type="dxa"/>
            <w:noWrap w:val="0"/>
            <w:vAlign w:val="center"/>
          </w:tcPr>
          <w:p>
            <w:pPr>
              <w:spacing w:line="560" w:lineRule="exact"/>
              <w:ind w:left="-105" w:leftChars="-50" w:right="-105" w:rightChars="-50"/>
              <w:jc w:val="center"/>
              <w:rPr>
                <w:rFonts w:eastAsia="仿宋_GB2312"/>
                <w:sz w:val="24"/>
              </w:rPr>
            </w:pPr>
          </w:p>
        </w:tc>
        <w:tc>
          <w:tcPr>
            <w:tcW w:w="2126" w:type="dxa"/>
            <w:noWrap w:val="0"/>
            <w:vAlign w:val="center"/>
          </w:tcPr>
          <w:p>
            <w:pPr>
              <w:spacing w:line="560" w:lineRule="exact"/>
              <w:ind w:left="-105" w:leftChars="-50" w:right="-105" w:rightChars="-50"/>
              <w:jc w:val="center"/>
              <w:rPr>
                <w:rFonts w:eastAsia="仿宋_GB2312"/>
                <w:sz w:val="24"/>
              </w:rPr>
            </w:pPr>
          </w:p>
        </w:tc>
        <w:tc>
          <w:tcPr>
            <w:tcW w:w="1927" w:type="dxa"/>
            <w:noWrap w:val="0"/>
            <w:vAlign w:val="center"/>
          </w:tcPr>
          <w:p>
            <w:pPr>
              <w:spacing w:line="560" w:lineRule="exact"/>
              <w:ind w:left="-105" w:leftChars="-50" w:right="-105" w:rightChars="-50"/>
              <w:jc w:val="center"/>
              <w:rPr>
                <w:rFonts w:eastAsia="仿宋_GB2312"/>
                <w:sz w:val="24"/>
              </w:rPr>
            </w:pPr>
          </w:p>
        </w:tc>
      </w:tr>
    </w:tbl>
    <w:p>
      <w:pPr>
        <w:spacing w:line="560" w:lineRule="exact"/>
        <w:ind w:firstLine="204" w:firstLineChars="64"/>
        <w:rPr>
          <w:rFonts w:hint="eastAsia" w:eastAsia="黑体"/>
          <w:sz w:val="32"/>
          <w:szCs w:val="32"/>
        </w:rPr>
      </w:pPr>
    </w:p>
    <w:p>
      <w:pPr>
        <w:spacing w:line="560" w:lineRule="exact"/>
        <w:ind w:firstLine="204" w:firstLineChars="64"/>
        <w:rPr>
          <w:rFonts w:hint="eastAsia" w:eastAsia="黑体"/>
          <w:sz w:val="32"/>
          <w:szCs w:val="32"/>
        </w:rPr>
      </w:pPr>
    </w:p>
    <w:p>
      <w:pPr>
        <w:spacing w:line="560" w:lineRule="exact"/>
        <w:ind w:firstLine="204" w:firstLineChars="64"/>
        <w:rPr>
          <w:rFonts w:eastAsia="黑体"/>
          <w:sz w:val="32"/>
          <w:szCs w:val="32"/>
        </w:rPr>
      </w:pPr>
      <w:r>
        <w:rPr>
          <w:rFonts w:hint="eastAsia" w:eastAsia="黑体"/>
          <w:sz w:val="32"/>
          <w:szCs w:val="32"/>
        </w:rPr>
        <w:t>四、建设项目环境影响评价及其他环境保护行政许可情况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2"/>
        <w:gridCol w:w="2013"/>
        <w:gridCol w:w="1531"/>
        <w:gridCol w:w="1531"/>
        <w:gridCol w:w="1729"/>
        <w:gridCol w:w="153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326" w:type="dxa"/>
            <w:gridSpan w:val="7"/>
            <w:noWrap w:val="0"/>
            <w:vAlign w:val="center"/>
          </w:tcPr>
          <w:p>
            <w:pPr>
              <w:spacing w:line="560" w:lineRule="exact"/>
              <w:jc w:val="center"/>
              <w:rPr>
                <w:rFonts w:eastAsia="仿宋_GB2312"/>
                <w:b/>
                <w:sz w:val="28"/>
                <w:szCs w:val="28"/>
              </w:rPr>
            </w:pPr>
            <w:r>
              <w:rPr>
                <w:rFonts w:hint="eastAsia" w:eastAsia="仿宋_GB2312"/>
                <w:b/>
                <w:sz w:val="28"/>
                <w:szCs w:val="28"/>
              </w:rPr>
              <w:t>建设项目环境影响评价及其他环境保护行政许可情况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432" w:type="dxa"/>
            <w:noWrap w:val="0"/>
            <w:vAlign w:val="center"/>
          </w:tcPr>
          <w:p>
            <w:pPr>
              <w:spacing w:line="560" w:lineRule="exact"/>
              <w:ind w:left="-105" w:leftChars="-50" w:right="-105" w:rightChars="-50"/>
              <w:jc w:val="center"/>
              <w:rPr>
                <w:rFonts w:eastAsia="仿宋_GB2312"/>
                <w:sz w:val="24"/>
              </w:rPr>
            </w:pPr>
            <w:r>
              <w:rPr>
                <w:rFonts w:hint="eastAsia" w:eastAsia="仿宋_GB2312"/>
                <w:sz w:val="24"/>
              </w:rPr>
              <w:t>建设项目名称</w:t>
            </w:r>
          </w:p>
        </w:tc>
        <w:tc>
          <w:tcPr>
            <w:tcW w:w="2013" w:type="dxa"/>
            <w:noWrap w:val="0"/>
            <w:vAlign w:val="center"/>
          </w:tcPr>
          <w:p>
            <w:pPr>
              <w:spacing w:line="560" w:lineRule="exact"/>
              <w:ind w:left="-105" w:leftChars="-50" w:right="-105" w:rightChars="-50"/>
              <w:jc w:val="center"/>
              <w:rPr>
                <w:rFonts w:eastAsia="仿宋_GB2312"/>
                <w:sz w:val="24"/>
              </w:rPr>
            </w:pPr>
            <w:r>
              <w:rPr>
                <w:rFonts w:hint="eastAsia" w:eastAsia="仿宋_GB2312"/>
                <w:sz w:val="24"/>
              </w:rPr>
              <w:t>环评批复单位</w:t>
            </w:r>
          </w:p>
        </w:tc>
        <w:tc>
          <w:tcPr>
            <w:tcW w:w="1531" w:type="dxa"/>
            <w:noWrap w:val="0"/>
            <w:vAlign w:val="center"/>
          </w:tcPr>
          <w:p>
            <w:pPr>
              <w:spacing w:line="560" w:lineRule="exact"/>
              <w:ind w:left="-105" w:leftChars="-50" w:right="-105" w:rightChars="-50"/>
              <w:jc w:val="center"/>
              <w:rPr>
                <w:rFonts w:eastAsia="仿宋_GB2312"/>
                <w:sz w:val="24"/>
              </w:rPr>
            </w:pPr>
            <w:r>
              <w:rPr>
                <w:rFonts w:hint="eastAsia" w:eastAsia="仿宋_GB2312"/>
                <w:sz w:val="24"/>
              </w:rPr>
              <w:t>环评批复时间</w:t>
            </w:r>
          </w:p>
        </w:tc>
        <w:tc>
          <w:tcPr>
            <w:tcW w:w="1531" w:type="dxa"/>
            <w:noWrap w:val="0"/>
            <w:vAlign w:val="center"/>
          </w:tcPr>
          <w:p>
            <w:pPr>
              <w:spacing w:line="560" w:lineRule="exact"/>
              <w:ind w:left="-105" w:leftChars="-50" w:right="-105" w:rightChars="-50"/>
              <w:jc w:val="center"/>
              <w:rPr>
                <w:rFonts w:eastAsia="仿宋_GB2312"/>
                <w:sz w:val="24"/>
              </w:rPr>
            </w:pPr>
            <w:r>
              <w:rPr>
                <w:rFonts w:hint="eastAsia" w:eastAsia="仿宋_GB2312"/>
                <w:sz w:val="24"/>
              </w:rPr>
              <w:t>环评批复文号</w:t>
            </w:r>
          </w:p>
        </w:tc>
        <w:tc>
          <w:tcPr>
            <w:tcW w:w="1729" w:type="dxa"/>
            <w:noWrap w:val="0"/>
            <w:vAlign w:val="center"/>
          </w:tcPr>
          <w:p>
            <w:pPr>
              <w:spacing w:line="560" w:lineRule="exact"/>
              <w:ind w:left="-105" w:leftChars="-50" w:right="-105" w:rightChars="-50"/>
              <w:jc w:val="center"/>
              <w:rPr>
                <w:rFonts w:eastAsia="仿宋_GB2312"/>
                <w:sz w:val="24"/>
              </w:rPr>
            </w:pPr>
            <w:r>
              <w:rPr>
                <w:rFonts w:hint="eastAsia" w:eastAsia="仿宋_GB2312"/>
                <w:sz w:val="24"/>
              </w:rPr>
              <w:t>竣工验收单位</w:t>
            </w:r>
          </w:p>
        </w:tc>
        <w:tc>
          <w:tcPr>
            <w:tcW w:w="1530" w:type="dxa"/>
            <w:noWrap w:val="0"/>
            <w:vAlign w:val="center"/>
          </w:tcPr>
          <w:p>
            <w:pPr>
              <w:spacing w:line="560" w:lineRule="exact"/>
              <w:ind w:left="-105" w:leftChars="-50" w:right="-105" w:rightChars="-50"/>
              <w:jc w:val="center"/>
              <w:rPr>
                <w:rFonts w:eastAsia="仿宋_GB2312"/>
                <w:sz w:val="24"/>
              </w:rPr>
            </w:pPr>
            <w:r>
              <w:rPr>
                <w:rFonts w:hint="eastAsia" w:eastAsia="仿宋_GB2312"/>
                <w:sz w:val="24"/>
              </w:rPr>
              <w:t>竣工验收时间</w:t>
            </w:r>
          </w:p>
        </w:tc>
        <w:tc>
          <w:tcPr>
            <w:tcW w:w="1560" w:type="dxa"/>
            <w:noWrap w:val="0"/>
            <w:vAlign w:val="center"/>
          </w:tcPr>
          <w:p>
            <w:pPr>
              <w:spacing w:line="560" w:lineRule="exact"/>
              <w:ind w:left="-105" w:leftChars="-50" w:right="-105" w:rightChars="-50"/>
              <w:jc w:val="center"/>
              <w:rPr>
                <w:rFonts w:eastAsia="仿宋_GB2312"/>
                <w:sz w:val="24"/>
              </w:rPr>
            </w:pPr>
            <w:r>
              <w:rPr>
                <w:rFonts w:hint="eastAsia" w:eastAsia="仿宋_GB2312"/>
                <w:sz w:val="24"/>
              </w:rPr>
              <w:t>竣工验收文号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432" w:type="dxa"/>
            <w:noWrap w:val="0"/>
            <w:vAlign w:val="center"/>
          </w:tcPr>
          <w:p>
            <w:pPr>
              <w:widowControl/>
              <w:spacing w:before="100" w:beforeAutospacing="1" w:after="100" w:afterAutospacing="1"/>
              <w:ind w:left="-105"/>
              <w:jc w:val="center"/>
              <w:rPr>
                <w:rFonts w:hint="default" w:eastAsia="仿宋_GB2312"/>
                <w:sz w:val="24"/>
                <w:lang w:val="en-US" w:eastAsia="zh-CN"/>
              </w:rPr>
            </w:pPr>
            <w:r>
              <w:rPr>
                <w:rFonts w:hint="eastAsia" w:eastAsia="仿宋_GB2312"/>
                <w:sz w:val="24"/>
                <w:lang w:val="en-US" w:eastAsia="zh-CN"/>
              </w:rPr>
              <w:t>高碑店市白沟京泽压铸厂</w:t>
            </w:r>
          </w:p>
        </w:tc>
        <w:tc>
          <w:tcPr>
            <w:tcW w:w="2013" w:type="dxa"/>
            <w:noWrap w:val="0"/>
            <w:vAlign w:val="center"/>
          </w:tcPr>
          <w:p>
            <w:pPr>
              <w:widowControl/>
              <w:spacing w:before="100" w:beforeAutospacing="1" w:after="100" w:afterAutospacing="1"/>
              <w:ind w:left="-105"/>
              <w:jc w:val="center"/>
              <w:rPr>
                <w:rFonts w:hint="default" w:eastAsia="仿宋_GB2312"/>
                <w:sz w:val="24"/>
                <w:lang w:val="en-US" w:eastAsia="zh-CN"/>
              </w:rPr>
            </w:pPr>
            <w:r>
              <w:rPr>
                <w:rFonts w:hint="eastAsia" w:eastAsia="仿宋_GB2312"/>
                <w:sz w:val="24"/>
                <w:lang w:val="en-US" w:eastAsia="zh-CN"/>
              </w:rPr>
              <w:t>河北省环境保护局</w:t>
            </w:r>
          </w:p>
        </w:tc>
        <w:tc>
          <w:tcPr>
            <w:tcW w:w="1531" w:type="dxa"/>
            <w:noWrap w:val="0"/>
            <w:vAlign w:val="center"/>
          </w:tcPr>
          <w:p>
            <w:pPr>
              <w:widowControl/>
              <w:spacing w:before="100" w:beforeAutospacing="1" w:after="100" w:afterAutospacing="1"/>
              <w:ind w:left="-105"/>
              <w:jc w:val="center"/>
              <w:rPr>
                <w:rFonts w:hint="default" w:eastAsia="仿宋_GB2312"/>
                <w:sz w:val="24"/>
                <w:lang w:val="en-US" w:eastAsia="zh-CN"/>
              </w:rPr>
            </w:pPr>
            <w:r>
              <w:rPr>
                <w:rFonts w:hint="eastAsia" w:eastAsia="仿宋_GB2312"/>
                <w:sz w:val="24"/>
                <w:lang w:val="en-US" w:eastAsia="zh-CN"/>
              </w:rPr>
              <w:t>2002/4/12</w:t>
            </w:r>
          </w:p>
        </w:tc>
        <w:tc>
          <w:tcPr>
            <w:tcW w:w="1531" w:type="dxa"/>
            <w:noWrap w:val="0"/>
            <w:vAlign w:val="center"/>
          </w:tcPr>
          <w:p>
            <w:pPr>
              <w:widowControl/>
              <w:spacing w:before="100" w:beforeAutospacing="1" w:after="100" w:afterAutospacing="1"/>
              <w:ind w:left="-105"/>
              <w:jc w:val="center"/>
              <w:rPr>
                <w:rFonts w:hint="default" w:eastAsia="仿宋_GB2312"/>
                <w:sz w:val="24"/>
                <w:lang w:val="en-US" w:eastAsia="zh-CN"/>
              </w:rPr>
            </w:pPr>
            <w:r>
              <w:rPr>
                <w:rFonts w:hint="eastAsia" w:eastAsia="仿宋_GB2312"/>
                <w:sz w:val="24"/>
                <w:lang w:val="en-US" w:eastAsia="zh-CN"/>
              </w:rPr>
              <w:t>冀环管[2002]101号</w:t>
            </w:r>
          </w:p>
        </w:tc>
        <w:tc>
          <w:tcPr>
            <w:tcW w:w="1729" w:type="dxa"/>
            <w:noWrap w:val="0"/>
            <w:vAlign w:val="center"/>
          </w:tcPr>
          <w:p>
            <w:pPr>
              <w:widowControl/>
              <w:spacing w:before="100" w:beforeAutospacing="1" w:after="100" w:afterAutospacing="1"/>
              <w:ind w:left="-105"/>
              <w:jc w:val="center"/>
              <w:rPr>
                <w:rFonts w:hint="default" w:eastAsia="仿宋_GB2312"/>
                <w:sz w:val="24"/>
                <w:lang w:val="en-US" w:eastAsia="zh-CN"/>
              </w:rPr>
            </w:pPr>
            <w:r>
              <w:rPr>
                <w:rFonts w:hint="eastAsia" w:eastAsia="仿宋_GB2312"/>
                <w:sz w:val="24"/>
                <w:lang w:val="en-US" w:eastAsia="zh-CN"/>
              </w:rPr>
              <w:t>河北省环境保护局</w:t>
            </w:r>
          </w:p>
        </w:tc>
        <w:tc>
          <w:tcPr>
            <w:tcW w:w="1530" w:type="dxa"/>
            <w:noWrap w:val="0"/>
            <w:vAlign w:val="center"/>
          </w:tcPr>
          <w:p>
            <w:pPr>
              <w:widowControl/>
              <w:spacing w:before="100" w:beforeAutospacing="1" w:after="100" w:afterAutospacing="1"/>
              <w:ind w:left="-105"/>
              <w:jc w:val="center"/>
              <w:rPr>
                <w:rFonts w:hint="default" w:eastAsia="仿宋_GB2312"/>
                <w:sz w:val="24"/>
                <w:lang w:val="en-US" w:eastAsia="zh-CN"/>
              </w:rPr>
            </w:pPr>
            <w:r>
              <w:rPr>
                <w:rFonts w:hint="eastAsia" w:eastAsia="仿宋_GB2312"/>
                <w:sz w:val="24"/>
                <w:lang w:val="en-US" w:eastAsia="zh-CN"/>
              </w:rPr>
              <w:t>2003/9/3</w:t>
            </w:r>
          </w:p>
        </w:tc>
        <w:tc>
          <w:tcPr>
            <w:tcW w:w="1560" w:type="dxa"/>
            <w:noWrap w:val="0"/>
            <w:vAlign w:val="center"/>
          </w:tcPr>
          <w:p>
            <w:pPr>
              <w:widowControl/>
              <w:spacing w:before="100" w:beforeAutospacing="1" w:after="100" w:afterAutospacing="1"/>
              <w:ind w:left="-105"/>
              <w:jc w:val="center"/>
              <w:rPr>
                <w:rFonts w:hint="default" w:eastAsia="仿宋_GB2312"/>
                <w:sz w:val="24"/>
                <w:lang w:val="en-US" w:eastAsia="zh-CN"/>
              </w:rPr>
            </w:pPr>
            <w:r>
              <w:rPr>
                <w:rFonts w:hint="eastAsia" w:eastAsia="仿宋_GB2312"/>
                <w:sz w:val="24"/>
                <w:lang w:val="en-US" w:eastAsia="zh-CN"/>
              </w:rPr>
              <w:t>环验[2003]018号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432" w:type="dxa"/>
            <w:noWrap w:val="0"/>
            <w:vAlign w:val="center"/>
          </w:tcPr>
          <w:p>
            <w:pPr>
              <w:spacing w:line="560" w:lineRule="exact"/>
              <w:ind w:left="-105" w:leftChars="-50" w:right="-105" w:rightChars="-50"/>
              <w:jc w:val="center"/>
              <w:rPr>
                <w:rFonts w:eastAsia="仿宋_GB2312"/>
                <w:sz w:val="24"/>
              </w:rPr>
            </w:pPr>
          </w:p>
        </w:tc>
        <w:tc>
          <w:tcPr>
            <w:tcW w:w="2013" w:type="dxa"/>
            <w:noWrap w:val="0"/>
            <w:vAlign w:val="center"/>
          </w:tcPr>
          <w:p>
            <w:pPr>
              <w:spacing w:line="560" w:lineRule="exact"/>
              <w:ind w:left="-105" w:leftChars="-50" w:right="-105" w:rightChars="-50"/>
              <w:jc w:val="center"/>
              <w:rPr>
                <w:rFonts w:eastAsia="仿宋_GB2312"/>
                <w:sz w:val="24"/>
              </w:rPr>
            </w:pPr>
          </w:p>
        </w:tc>
        <w:tc>
          <w:tcPr>
            <w:tcW w:w="1531" w:type="dxa"/>
            <w:noWrap w:val="0"/>
            <w:vAlign w:val="center"/>
          </w:tcPr>
          <w:p>
            <w:pPr>
              <w:spacing w:line="560" w:lineRule="exact"/>
              <w:ind w:left="-105" w:leftChars="-50" w:right="-105" w:rightChars="-50"/>
              <w:jc w:val="center"/>
              <w:rPr>
                <w:rFonts w:eastAsia="仿宋_GB2312"/>
                <w:sz w:val="24"/>
              </w:rPr>
            </w:pPr>
          </w:p>
        </w:tc>
        <w:tc>
          <w:tcPr>
            <w:tcW w:w="1531" w:type="dxa"/>
            <w:noWrap w:val="0"/>
            <w:vAlign w:val="center"/>
          </w:tcPr>
          <w:p>
            <w:pPr>
              <w:spacing w:line="560" w:lineRule="exact"/>
              <w:ind w:left="-105" w:leftChars="-50" w:right="-105" w:rightChars="-50"/>
              <w:jc w:val="center"/>
              <w:rPr>
                <w:rFonts w:eastAsia="仿宋_GB2312"/>
                <w:sz w:val="24"/>
              </w:rPr>
            </w:pPr>
          </w:p>
        </w:tc>
        <w:tc>
          <w:tcPr>
            <w:tcW w:w="1729" w:type="dxa"/>
            <w:noWrap w:val="0"/>
            <w:vAlign w:val="center"/>
          </w:tcPr>
          <w:p>
            <w:pPr>
              <w:spacing w:line="560" w:lineRule="exact"/>
              <w:ind w:left="-105" w:leftChars="-50" w:right="-105" w:rightChars="-50"/>
              <w:jc w:val="center"/>
              <w:rPr>
                <w:rFonts w:eastAsia="仿宋_GB2312"/>
                <w:sz w:val="24"/>
              </w:rPr>
            </w:pPr>
          </w:p>
        </w:tc>
        <w:tc>
          <w:tcPr>
            <w:tcW w:w="1530" w:type="dxa"/>
            <w:noWrap w:val="0"/>
            <w:vAlign w:val="center"/>
          </w:tcPr>
          <w:p>
            <w:pPr>
              <w:spacing w:line="560" w:lineRule="exact"/>
              <w:ind w:left="-105" w:leftChars="-50" w:right="-105" w:rightChars="-50"/>
              <w:jc w:val="center"/>
              <w:rPr>
                <w:rFonts w:eastAsia="仿宋_GB2312"/>
                <w:sz w:val="24"/>
              </w:rPr>
            </w:pPr>
          </w:p>
        </w:tc>
        <w:tc>
          <w:tcPr>
            <w:tcW w:w="1560" w:type="dxa"/>
            <w:noWrap w:val="0"/>
            <w:vAlign w:val="center"/>
          </w:tcPr>
          <w:p>
            <w:pPr>
              <w:spacing w:line="560" w:lineRule="exact"/>
              <w:ind w:left="-105" w:leftChars="-50" w:right="-105" w:rightChar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432" w:type="dxa"/>
            <w:noWrap w:val="0"/>
            <w:vAlign w:val="center"/>
          </w:tcPr>
          <w:p>
            <w:pPr>
              <w:spacing w:line="560" w:lineRule="exact"/>
              <w:ind w:left="-105" w:leftChars="-50" w:right="-105" w:rightChars="-50"/>
              <w:jc w:val="center"/>
              <w:rPr>
                <w:rFonts w:eastAsia="仿宋_GB2312"/>
                <w:sz w:val="24"/>
              </w:rPr>
            </w:pPr>
            <w:r>
              <w:rPr>
                <w:rFonts w:eastAsia="仿宋_GB2312"/>
                <w:sz w:val="24"/>
              </w:rPr>
              <w:t>…</w:t>
            </w:r>
          </w:p>
        </w:tc>
        <w:tc>
          <w:tcPr>
            <w:tcW w:w="2013" w:type="dxa"/>
            <w:noWrap w:val="0"/>
            <w:vAlign w:val="center"/>
          </w:tcPr>
          <w:p>
            <w:pPr>
              <w:spacing w:line="560" w:lineRule="exact"/>
              <w:ind w:left="-105" w:leftChars="-50" w:right="-105" w:rightChars="-50"/>
              <w:jc w:val="center"/>
              <w:rPr>
                <w:rFonts w:eastAsia="仿宋_GB2312"/>
                <w:sz w:val="24"/>
              </w:rPr>
            </w:pPr>
          </w:p>
        </w:tc>
        <w:tc>
          <w:tcPr>
            <w:tcW w:w="1531" w:type="dxa"/>
            <w:noWrap w:val="0"/>
            <w:vAlign w:val="center"/>
          </w:tcPr>
          <w:p>
            <w:pPr>
              <w:spacing w:line="560" w:lineRule="exact"/>
              <w:ind w:left="-105" w:leftChars="-50" w:right="-105" w:rightChars="-50"/>
              <w:jc w:val="center"/>
              <w:rPr>
                <w:rFonts w:eastAsia="仿宋_GB2312"/>
                <w:sz w:val="24"/>
              </w:rPr>
            </w:pPr>
          </w:p>
        </w:tc>
        <w:tc>
          <w:tcPr>
            <w:tcW w:w="1531" w:type="dxa"/>
            <w:noWrap w:val="0"/>
            <w:vAlign w:val="center"/>
          </w:tcPr>
          <w:p>
            <w:pPr>
              <w:spacing w:line="560" w:lineRule="exact"/>
              <w:ind w:left="-105" w:leftChars="-50" w:right="-105" w:rightChars="-50"/>
              <w:jc w:val="center"/>
              <w:rPr>
                <w:rFonts w:eastAsia="仿宋_GB2312"/>
                <w:sz w:val="24"/>
              </w:rPr>
            </w:pPr>
          </w:p>
        </w:tc>
        <w:tc>
          <w:tcPr>
            <w:tcW w:w="1729" w:type="dxa"/>
            <w:noWrap w:val="0"/>
            <w:vAlign w:val="center"/>
          </w:tcPr>
          <w:p>
            <w:pPr>
              <w:spacing w:line="560" w:lineRule="exact"/>
              <w:ind w:left="-105" w:leftChars="-50" w:right="-105" w:rightChars="-50"/>
              <w:jc w:val="center"/>
              <w:rPr>
                <w:rFonts w:eastAsia="仿宋_GB2312"/>
                <w:sz w:val="24"/>
              </w:rPr>
            </w:pPr>
          </w:p>
        </w:tc>
        <w:tc>
          <w:tcPr>
            <w:tcW w:w="1530" w:type="dxa"/>
            <w:noWrap w:val="0"/>
            <w:vAlign w:val="center"/>
          </w:tcPr>
          <w:p>
            <w:pPr>
              <w:spacing w:line="560" w:lineRule="exact"/>
              <w:ind w:left="-105" w:leftChars="-50" w:right="-105" w:rightChars="-50"/>
              <w:jc w:val="center"/>
              <w:rPr>
                <w:rFonts w:eastAsia="仿宋_GB2312"/>
                <w:sz w:val="24"/>
              </w:rPr>
            </w:pPr>
          </w:p>
        </w:tc>
        <w:tc>
          <w:tcPr>
            <w:tcW w:w="1560" w:type="dxa"/>
            <w:noWrap w:val="0"/>
            <w:vAlign w:val="center"/>
          </w:tcPr>
          <w:p>
            <w:pPr>
              <w:spacing w:line="560" w:lineRule="exact"/>
              <w:ind w:left="-105" w:leftChars="-50" w:right="-105" w:rightChar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432" w:type="dxa"/>
            <w:noWrap w:val="0"/>
            <w:vAlign w:val="center"/>
          </w:tcPr>
          <w:p>
            <w:pPr>
              <w:spacing w:line="560" w:lineRule="exact"/>
              <w:ind w:left="-105" w:leftChars="-50" w:right="-105" w:rightChars="-50"/>
              <w:jc w:val="center"/>
              <w:rPr>
                <w:rFonts w:eastAsia="仿宋_GB2312"/>
                <w:sz w:val="24"/>
              </w:rPr>
            </w:pPr>
            <w:r>
              <w:rPr>
                <w:rFonts w:hint="eastAsia" w:eastAsia="仿宋_GB2312"/>
                <w:sz w:val="24"/>
              </w:rPr>
              <w:t>其他环境保护行政许可情况</w:t>
            </w:r>
          </w:p>
        </w:tc>
        <w:tc>
          <w:tcPr>
            <w:tcW w:w="9894" w:type="dxa"/>
            <w:gridSpan w:val="6"/>
            <w:noWrap w:val="0"/>
            <w:vAlign w:val="center"/>
          </w:tcPr>
          <w:p>
            <w:pPr>
              <w:spacing w:line="560" w:lineRule="exact"/>
              <w:ind w:left="-105" w:leftChars="-50" w:right="-105" w:rightChars="-50"/>
              <w:jc w:val="center"/>
              <w:rPr>
                <w:rFonts w:eastAsia="仿宋_GB2312"/>
                <w:sz w:val="24"/>
              </w:rPr>
            </w:pPr>
          </w:p>
        </w:tc>
      </w:tr>
    </w:tbl>
    <w:p>
      <w:pPr>
        <w:pStyle w:val="16"/>
      </w:pPr>
    </w:p>
    <w:p>
      <w:pPr>
        <w:spacing w:line="560" w:lineRule="exact"/>
        <w:ind w:firstLine="204" w:firstLineChars="64"/>
        <w:rPr>
          <w:rFonts w:eastAsia="黑体"/>
          <w:sz w:val="32"/>
          <w:szCs w:val="32"/>
        </w:rPr>
      </w:pPr>
      <w:r>
        <w:rPr>
          <w:rFonts w:hint="eastAsia" w:eastAsia="黑体"/>
          <w:sz w:val="32"/>
          <w:szCs w:val="32"/>
        </w:rPr>
        <w:t>五、突发环境事件应急预案</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3453"/>
        <w:gridCol w:w="2449"/>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354" w:type="dxa"/>
            <w:gridSpan w:val="4"/>
            <w:noWrap w:val="0"/>
            <w:vAlign w:val="center"/>
          </w:tcPr>
          <w:p>
            <w:pPr>
              <w:spacing w:line="560" w:lineRule="exact"/>
              <w:jc w:val="center"/>
              <w:rPr>
                <w:rFonts w:eastAsia="仿宋_GB2312"/>
                <w:b/>
                <w:sz w:val="28"/>
                <w:szCs w:val="28"/>
                <w:highlight w:val="none"/>
              </w:rPr>
            </w:pPr>
            <w:r>
              <w:rPr>
                <w:rFonts w:hint="eastAsia" w:eastAsia="仿宋_GB2312"/>
                <w:b/>
                <w:sz w:val="28"/>
                <w:szCs w:val="28"/>
                <w:highlight w:val="none"/>
              </w:rPr>
              <w:t>突发环境事件应急预案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328" w:type="dxa"/>
            <w:noWrap w:val="0"/>
            <w:vAlign w:val="center"/>
          </w:tcPr>
          <w:p>
            <w:pPr>
              <w:spacing w:line="560" w:lineRule="exact"/>
              <w:ind w:left="-105" w:leftChars="-50" w:right="-105" w:rightChars="-50"/>
              <w:jc w:val="center"/>
              <w:rPr>
                <w:rFonts w:eastAsia="仿宋_GB2312"/>
                <w:sz w:val="24"/>
                <w:highlight w:val="none"/>
              </w:rPr>
            </w:pPr>
            <w:r>
              <w:rPr>
                <w:rFonts w:hint="eastAsia" w:eastAsia="仿宋_GB2312"/>
                <w:sz w:val="24"/>
                <w:highlight w:val="none"/>
              </w:rPr>
              <w:t>备案部门</w:t>
            </w:r>
          </w:p>
        </w:tc>
        <w:tc>
          <w:tcPr>
            <w:tcW w:w="3453" w:type="dxa"/>
            <w:noWrap w:val="0"/>
            <w:vAlign w:val="center"/>
          </w:tcPr>
          <w:p>
            <w:pPr>
              <w:spacing w:line="560" w:lineRule="exact"/>
              <w:ind w:left="-105" w:leftChars="-50" w:right="-105" w:rightChars="-50"/>
              <w:jc w:val="center"/>
              <w:rPr>
                <w:rFonts w:hint="default" w:eastAsia="仿宋_GB2312"/>
                <w:sz w:val="24"/>
                <w:highlight w:val="none"/>
                <w:lang w:val="en-US" w:eastAsia="zh-CN"/>
              </w:rPr>
            </w:pPr>
            <w:r>
              <w:rPr>
                <w:rFonts w:hint="eastAsia" w:eastAsia="仿宋_GB2312"/>
                <w:sz w:val="24"/>
                <w:highlight w:val="none"/>
                <w:lang w:val="en-US" w:eastAsia="zh-CN"/>
              </w:rPr>
              <w:t>保定市生态环境局白沟新城分局</w:t>
            </w:r>
          </w:p>
        </w:tc>
        <w:tc>
          <w:tcPr>
            <w:tcW w:w="2449" w:type="dxa"/>
            <w:noWrap w:val="0"/>
            <w:vAlign w:val="center"/>
          </w:tcPr>
          <w:p>
            <w:pPr>
              <w:spacing w:line="560" w:lineRule="exact"/>
              <w:ind w:left="-105" w:leftChars="-50" w:right="-105" w:rightChars="-50"/>
              <w:jc w:val="center"/>
              <w:rPr>
                <w:rFonts w:eastAsia="仿宋_GB2312"/>
                <w:sz w:val="24"/>
                <w:highlight w:val="none"/>
              </w:rPr>
            </w:pPr>
            <w:r>
              <w:rPr>
                <w:rFonts w:hint="eastAsia" w:eastAsia="仿宋_GB2312"/>
                <w:sz w:val="24"/>
                <w:highlight w:val="none"/>
              </w:rPr>
              <w:t>备案时间</w:t>
            </w:r>
          </w:p>
        </w:tc>
        <w:tc>
          <w:tcPr>
            <w:tcW w:w="6124" w:type="dxa"/>
            <w:noWrap w:val="0"/>
            <w:vAlign w:val="center"/>
          </w:tcPr>
          <w:p>
            <w:pPr>
              <w:spacing w:line="560" w:lineRule="exact"/>
              <w:ind w:left="-105" w:leftChars="-50" w:right="-105" w:rightChars="-50"/>
              <w:jc w:val="center"/>
              <w:rPr>
                <w:rFonts w:hint="default" w:eastAsia="仿宋_GB2312"/>
                <w:sz w:val="24"/>
                <w:highlight w:val="none"/>
                <w:lang w:val="en-US" w:eastAsia="zh-CN"/>
              </w:rPr>
            </w:pPr>
            <w:r>
              <w:rPr>
                <w:rFonts w:hint="eastAsia" w:eastAsia="仿宋_GB2312"/>
                <w:sz w:val="24"/>
                <w:highlight w:val="none"/>
                <w:lang w:val="en-US" w:eastAsia="zh-CN"/>
              </w:rPr>
              <w:t>2020年9月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8" w:type="dxa"/>
            <w:noWrap w:val="0"/>
            <w:vAlign w:val="center"/>
          </w:tcPr>
          <w:p>
            <w:pPr>
              <w:spacing w:line="560" w:lineRule="exact"/>
              <w:ind w:left="-105" w:leftChars="-50" w:right="-105" w:rightChars="-50"/>
              <w:jc w:val="center"/>
              <w:rPr>
                <w:rFonts w:eastAsia="仿宋_GB2312"/>
                <w:sz w:val="24"/>
                <w:highlight w:val="none"/>
              </w:rPr>
            </w:pPr>
            <w:r>
              <w:rPr>
                <w:rFonts w:hint="eastAsia" w:eastAsia="仿宋_GB2312"/>
                <w:sz w:val="24"/>
                <w:highlight w:val="none"/>
              </w:rPr>
              <w:t>主要内容</w:t>
            </w:r>
          </w:p>
        </w:tc>
        <w:tc>
          <w:tcPr>
            <w:tcW w:w="12026" w:type="dxa"/>
            <w:gridSpan w:val="3"/>
            <w:noWrap w:val="0"/>
            <w:vAlign w:val="center"/>
          </w:tcPr>
          <w:p>
            <w:pPr>
              <w:pStyle w:val="2"/>
              <w:widowControl/>
              <w:tabs>
                <w:tab w:val="right" w:leader="dot" w:pos="8505"/>
              </w:tabs>
              <w:spacing w:before="120" w:beforeLines="50" w:after="120" w:afterLines="50" w:line="360" w:lineRule="auto"/>
              <w:ind w:left="0" w:leftChars="0"/>
              <w:jc w:val="left"/>
              <w:outlineLvl w:val="0"/>
              <w:rPr>
                <w:b/>
                <w:bCs/>
                <w:sz w:val="24"/>
                <w:highlight w:val="none"/>
              </w:rPr>
            </w:pPr>
            <w:bookmarkStart w:id="0" w:name="_Toc50554710"/>
            <w:bookmarkStart w:id="1" w:name="_Toc27029"/>
            <w:r>
              <w:rPr>
                <w:b/>
                <w:bCs/>
                <w:sz w:val="24"/>
                <w:highlight w:val="none"/>
              </w:rPr>
              <w:t>1</w:t>
            </w:r>
            <w:r>
              <w:rPr>
                <w:rFonts w:hint="eastAsia"/>
                <w:b/>
                <w:bCs/>
                <w:sz w:val="24"/>
                <w:highlight w:val="none"/>
              </w:rPr>
              <w:t xml:space="preserve"> </w:t>
            </w:r>
            <w:r>
              <w:rPr>
                <w:b/>
                <w:bCs/>
                <w:sz w:val="24"/>
                <w:highlight w:val="none"/>
              </w:rPr>
              <w:t>总则</w:t>
            </w:r>
            <w:bookmarkEnd w:id="0"/>
            <w:bookmarkEnd w:id="1"/>
            <w:bookmarkStart w:id="2" w:name="_Toc177704410"/>
            <w:bookmarkStart w:id="3" w:name="_Toc306266589"/>
            <w:bookmarkStart w:id="4" w:name="_Toc313023142"/>
            <w:bookmarkStart w:id="5" w:name="_Toc268088057"/>
            <w:bookmarkStart w:id="6" w:name="_Toc304533413"/>
          </w:p>
          <w:p>
            <w:pPr>
              <w:spacing w:line="360" w:lineRule="auto"/>
              <w:ind w:firstLine="480" w:firstLineChars="200"/>
              <w:rPr>
                <w:highlight w:val="none"/>
              </w:rPr>
            </w:pPr>
            <w:r>
              <w:rPr>
                <w:rFonts w:hint="eastAsia"/>
                <w:sz w:val="24"/>
                <w:highlight w:val="none"/>
              </w:rPr>
              <w:t>突发环境事件应急预案是我公司为预防、预警和应急处置突发环境事件或由安全生产次生、衍生的各类突发环境事件而制定的应急预案，规范了我公司应对突发环境事件的应急机制，提出了我公司突发环境事件的预防预警和应急处置程序和应对措施，完善了</w:t>
            </w:r>
            <w:bookmarkStart w:id="69" w:name="_GoBack"/>
            <w:bookmarkEnd w:id="69"/>
            <w:r>
              <w:rPr>
                <w:rFonts w:hint="eastAsia"/>
                <w:sz w:val="24"/>
                <w:highlight w:val="none"/>
              </w:rPr>
              <w:t>各级政府相关部门和我公司救援抢险队伍的衔接和联动体系，为我公司有效、快速应对环境污染，保障区域环境安全提供科学的应急机制和措施。</w:t>
            </w:r>
          </w:p>
          <w:p>
            <w:pPr>
              <w:pStyle w:val="4"/>
              <w:spacing w:before="0" w:after="0" w:line="360" w:lineRule="auto"/>
              <w:rPr>
                <w:rFonts w:ascii="Times New Roman" w:hAnsi="Times New Roman"/>
                <w:sz w:val="24"/>
                <w:szCs w:val="24"/>
                <w:highlight w:val="none"/>
              </w:rPr>
            </w:pPr>
            <w:bookmarkStart w:id="7" w:name="_Toc6637"/>
            <w:bookmarkStart w:id="8" w:name="_Toc5982"/>
            <w:bookmarkStart w:id="9" w:name="_Toc29305"/>
            <w:bookmarkStart w:id="10" w:name="_Toc15019"/>
            <w:bookmarkStart w:id="11" w:name="_Toc50554711"/>
            <w:bookmarkStart w:id="12" w:name="_Toc408734735"/>
            <w:r>
              <w:rPr>
                <w:rFonts w:ascii="Times New Roman" w:hAnsi="Times New Roman"/>
                <w:sz w:val="24"/>
                <w:szCs w:val="24"/>
                <w:highlight w:val="none"/>
              </w:rPr>
              <w:t>1.1</w:t>
            </w:r>
            <w:r>
              <w:rPr>
                <w:rFonts w:hint="eastAsia" w:ascii="Times New Roman" w:hAnsi="Times New Roman"/>
                <w:sz w:val="24"/>
                <w:szCs w:val="24"/>
                <w:highlight w:val="none"/>
              </w:rPr>
              <w:t xml:space="preserve"> </w:t>
            </w:r>
            <w:r>
              <w:rPr>
                <w:rFonts w:ascii="Times New Roman" w:hAnsi="Times New Roman"/>
                <w:sz w:val="24"/>
                <w:szCs w:val="24"/>
                <w:highlight w:val="none"/>
              </w:rPr>
              <w:t>编制目</w:t>
            </w:r>
            <w:bookmarkEnd w:id="2"/>
            <w:r>
              <w:rPr>
                <w:rFonts w:ascii="Times New Roman" w:hAnsi="Times New Roman"/>
                <w:sz w:val="24"/>
                <w:szCs w:val="24"/>
                <w:highlight w:val="none"/>
              </w:rPr>
              <w:t>的</w:t>
            </w:r>
            <w:bookmarkEnd w:id="3"/>
            <w:bookmarkEnd w:id="4"/>
            <w:bookmarkEnd w:id="5"/>
            <w:bookmarkEnd w:id="6"/>
            <w:bookmarkEnd w:id="7"/>
            <w:bookmarkEnd w:id="8"/>
            <w:bookmarkEnd w:id="9"/>
            <w:bookmarkEnd w:id="10"/>
            <w:bookmarkEnd w:id="11"/>
            <w:bookmarkEnd w:id="12"/>
          </w:p>
          <w:p>
            <w:pPr>
              <w:spacing w:line="360" w:lineRule="auto"/>
              <w:ind w:firstLine="480" w:firstLineChars="200"/>
              <w:rPr>
                <w:sz w:val="24"/>
                <w:highlight w:val="none"/>
              </w:rPr>
            </w:pPr>
            <w:bookmarkStart w:id="13" w:name="_Toc268088058"/>
            <w:r>
              <w:rPr>
                <w:sz w:val="24"/>
                <w:highlight w:val="none"/>
              </w:rPr>
              <w:t>为贯彻落实《中华人民共和国环境保护法》，《中华人民共和国突发事件应对法》、《国家突发环境事件应急预案》及《突发环境事件应急预案管理暂行办法》等相关法律、法规和规章要求，建立健全高碑店市白沟京泽五金饰件厂突发环境事件应急救援体系，提高企业对突发环境事件的预防、应急响应和处置能力，通过实施有效的预防和监控措施，尽可能地避免和减少突发环境事件的发生，通过对突发环境事件的迅速响应和开展有效的应急行动，有效消除、降低突发环境事件的污染危害和影响，特制定本预案。</w:t>
            </w:r>
          </w:p>
          <w:p>
            <w:pPr>
              <w:pStyle w:val="4"/>
              <w:spacing w:before="0" w:after="0" w:line="360" w:lineRule="auto"/>
              <w:rPr>
                <w:rFonts w:ascii="Times New Roman" w:hAnsi="Times New Roman"/>
                <w:sz w:val="24"/>
                <w:szCs w:val="24"/>
                <w:highlight w:val="none"/>
              </w:rPr>
            </w:pPr>
            <w:bookmarkStart w:id="14" w:name="_Toc4019"/>
            <w:bookmarkStart w:id="15" w:name="_Toc50554712"/>
            <w:bookmarkStart w:id="16" w:name="_Toc306266590"/>
            <w:bookmarkStart w:id="17" w:name="_Toc304533414"/>
            <w:bookmarkStart w:id="18" w:name="_Toc408734736"/>
            <w:bookmarkStart w:id="19" w:name="_Toc15569"/>
            <w:bookmarkStart w:id="20" w:name="_Toc25242"/>
            <w:bookmarkStart w:id="21" w:name="_Toc313023143"/>
            <w:bookmarkStart w:id="22" w:name="_Toc10027"/>
            <w:r>
              <w:rPr>
                <w:rFonts w:ascii="Times New Roman" w:hAnsi="Times New Roman"/>
                <w:sz w:val="24"/>
                <w:szCs w:val="24"/>
                <w:highlight w:val="none"/>
              </w:rPr>
              <w:t>1.2</w:t>
            </w:r>
            <w:r>
              <w:rPr>
                <w:rFonts w:hint="eastAsia" w:ascii="Times New Roman" w:hAnsi="Times New Roman"/>
                <w:sz w:val="24"/>
                <w:szCs w:val="24"/>
                <w:highlight w:val="none"/>
              </w:rPr>
              <w:t xml:space="preserve"> </w:t>
            </w:r>
            <w:r>
              <w:rPr>
                <w:rFonts w:ascii="Times New Roman" w:hAnsi="Times New Roman"/>
                <w:sz w:val="24"/>
                <w:szCs w:val="24"/>
                <w:highlight w:val="none"/>
              </w:rPr>
              <w:t>编制依据</w:t>
            </w:r>
            <w:bookmarkEnd w:id="13"/>
            <w:bookmarkEnd w:id="14"/>
            <w:bookmarkEnd w:id="15"/>
            <w:bookmarkEnd w:id="16"/>
            <w:bookmarkEnd w:id="17"/>
            <w:bookmarkEnd w:id="18"/>
            <w:bookmarkEnd w:id="19"/>
            <w:bookmarkEnd w:id="20"/>
            <w:bookmarkEnd w:id="21"/>
            <w:bookmarkEnd w:id="22"/>
          </w:p>
          <w:p>
            <w:pPr>
              <w:spacing w:line="360" w:lineRule="auto"/>
              <w:ind w:firstLine="480" w:firstLineChars="200"/>
              <w:rPr>
                <w:sz w:val="24"/>
                <w:highlight w:val="none"/>
              </w:rPr>
            </w:pPr>
            <w:bookmarkStart w:id="23" w:name="_Toc313023144"/>
            <w:bookmarkStart w:id="24" w:name="_Toc306266591"/>
            <w:r>
              <w:rPr>
                <w:rFonts w:hint="eastAsia"/>
                <w:sz w:val="24"/>
                <w:highlight w:val="none"/>
              </w:rPr>
              <w:t>（1）</w:t>
            </w:r>
            <w:r>
              <w:rPr>
                <w:sz w:val="24"/>
                <w:highlight w:val="none"/>
              </w:rPr>
              <w:t>法律条文：</w:t>
            </w:r>
          </w:p>
          <w:p>
            <w:pPr>
              <w:spacing w:line="360" w:lineRule="auto"/>
              <w:ind w:firstLine="480" w:firstLineChars="200"/>
              <w:rPr>
                <w:sz w:val="24"/>
                <w:highlight w:val="none"/>
              </w:rPr>
            </w:pPr>
            <w:r>
              <w:rPr>
                <w:sz w:val="24"/>
                <w:highlight w:val="none"/>
              </w:rPr>
              <w:t>《中华人民共和国突发事件应对法》</w:t>
            </w:r>
            <w:r>
              <w:rPr>
                <w:rFonts w:hint="eastAsia"/>
                <w:sz w:val="24"/>
                <w:highlight w:val="none"/>
              </w:rPr>
              <w:t>（</w:t>
            </w:r>
            <w:r>
              <w:rPr>
                <w:rStyle w:val="41"/>
                <w:rFonts w:ascii="Times New Roman" w:hAnsi="Times New Roman"/>
                <w:sz w:val="24"/>
                <w:highlight w:val="none"/>
                <w:lang w:eastAsia="zh-CN"/>
              </w:rPr>
              <w:t>2007.11.1</w:t>
            </w:r>
            <w:r>
              <w:rPr>
                <w:rFonts w:hint="eastAsia"/>
                <w:sz w:val="24"/>
                <w:highlight w:val="none"/>
              </w:rPr>
              <w:t>）</w:t>
            </w:r>
          </w:p>
          <w:p>
            <w:pPr>
              <w:spacing w:line="360" w:lineRule="auto"/>
              <w:ind w:firstLine="480" w:firstLineChars="200"/>
              <w:rPr>
                <w:sz w:val="24"/>
                <w:highlight w:val="none"/>
              </w:rPr>
            </w:pPr>
            <w:r>
              <w:rPr>
                <w:sz w:val="24"/>
                <w:highlight w:val="none"/>
              </w:rPr>
              <w:t>《中华人民共和国环境保护法》</w:t>
            </w:r>
            <w:r>
              <w:rPr>
                <w:rFonts w:hint="eastAsia"/>
                <w:sz w:val="24"/>
                <w:highlight w:val="none"/>
              </w:rPr>
              <w:t>（</w:t>
            </w:r>
            <w:r>
              <w:rPr>
                <w:rStyle w:val="41"/>
                <w:rFonts w:ascii="Times New Roman" w:hAnsi="Times New Roman"/>
                <w:sz w:val="24"/>
                <w:highlight w:val="none"/>
                <w:lang w:eastAsia="zh-CN"/>
              </w:rPr>
              <w:t>2015.1.1</w:t>
            </w:r>
            <w:r>
              <w:rPr>
                <w:rFonts w:hint="eastAsia"/>
                <w:sz w:val="24"/>
                <w:highlight w:val="none"/>
              </w:rPr>
              <w:t>）</w:t>
            </w:r>
          </w:p>
          <w:p>
            <w:pPr>
              <w:spacing w:line="360" w:lineRule="auto"/>
              <w:ind w:firstLine="480" w:firstLineChars="200"/>
              <w:rPr>
                <w:sz w:val="24"/>
                <w:highlight w:val="none"/>
              </w:rPr>
            </w:pPr>
            <w:r>
              <w:rPr>
                <w:sz w:val="24"/>
                <w:highlight w:val="none"/>
              </w:rPr>
              <w:t>《中华人民共和国大气污染防治法》</w:t>
            </w:r>
            <w:r>
              <w:rPr>
                <w:rFonts w:hint="eastAsia"/>
                <w:sz w:val="24"/>
                <w:highlight w:val="none"/>
              </w:rPr>
              <w:t>（</w:t>
            </w:r>
            <w:r>
              <w:rPr>
                <w:rStyle w:val="41"/>
                <w:rFonts w:ascii="Times New Roman" w:hAnsi="Times New Roman"/>
                <w:sz w:val="24"/>
                <w:highlight w:val="none"/>
                <w:lang w:eastAsia="zh-CN"/>
              </w:rPr>
              <w:t>20</w:t>
            </w:r>
            <w:r>
              <w:rPr>
                <w:rStyle w:val="41"/>
                <w:rFonts w:hint="eastAsia" w:ascii="Times New Roman" w:hAnsi="Times New Roman" w:eastAsia="宋体"/>
                <w:sz w:val="24"/>
                <w:highlight w:val="none"/>
                <w:lang w:eastAsia="zh-CN"/>
              </w:rPr>
              <w:t>16</w:t>
            </w:r>
            <w:r>
              <w:rPr>
                <w:rStyle w:val="41"/>
                <w:rFonts w:ascii="Times New Roman" w:hAnsi="Times New Roman"/>
                <w:sz w:val="24"/>
                <w:highlight w:val="none"/>
                <w:lang w:eastAsia="zh-CN"/>
              </w:rPr>
              <w:t>.</w:t>
            </w:r>
            <w:r>
              <w:rPr>
                <w:rStyle w:val="41"/>
                <w:rFonts w:hint="eastAsia" w:ascii="Times New Roman" w:hAnsi="Times New Roman" w:eastAsia="宋体"/>
                <w:sz w:val="24"/>
                <w:highlight w:val="none"/>
                <w:lang w:eastAsia="zh-CN"/>
              </w:rPr>
              <w:t>1</w:t>
            </w:r>
            <w:r>
              <w:rPr>
                <w:rStyle w:val="41"/>
                <w:rFonts w:ascii="Times New Roman" w:hAnsi="Times New Roman"/>
                <w:sz w:val="24"/>
                <w:highlight w:val="none"/>
                <w:lang w:eastAsia="zh-CN"/>
              </w:rPr>
              <w:t>.1</w:t>
            </w:r>
            <w:r>
              <w:rPr>
                <w:rFonts w:hint="eastAsia"/>
                <w:sz w:val="24"/>
                <w:highlight w:val="none"/>
              </w:rPr>
              <w:t>）</w:t>
            </w:r>
          </w:p>
          <w:p>
            <w:pPr>
              <w:spacing w:line="360" w:lineRule="auto"/>
              <w:ind w:firstLine="480" w:firstLineChars="200"/>
              <w:rPr>
                <w:sz w:val="24"/>
                <w:highlight w:val="none"/>
              </w:rPr>
            </w:pPr>
            <w:r>
              <w:rPr>
                <w:sz w:val="24"/>
                <w:highlight w:val="none"/>
              </w:rPr>
              <w:t>《中华人民共和国水污染防治法》</w:t>
            </w:r>
            <w:r>
              <w:rPr>
                <w:rFonts w:hint="eastAsia"/>
                <w:sz w:val="24"/>
                <w:highlight w:val="none"/>
              </w:rPr>
              <w:t>（</w:t>
            </w:r>
            <w:r>
              <w:rPr>
                <w:rStyle w:val="41"/>
                <w:rFonts w:ascii="Times New Roman" w:hAnsi="Times New Roman"/>
                <w:sz w:val="24"/>
                <w:highlight w:val="none"/>
                <w:lang w:eastAsia="zh-CN"/>
              </w:rPr>
              <w:t>20</w:t>
            </w:r>
            <w:r>
              <w:rPr>
                <w:rStyle w:val="41"/>
                <w:rFonts w:hint="eastAsia" w:ascii="Times New Roman" w:hAnsi="Times New Roman"/>
                <w:sz w:val="24"/>
                <w:highlight w:val="none"/>
                <w:lang w:eastAsia="zh-CN"/>
              </w:rPr>
              <w:t>18</w:t>
            </w:r>
            <w:r>
              <w:rPr>
                <w:rStyle w:val="41"/>
                <w:rFonts w:ascii="Times New Roman" w:hAnsi="Times New Roman"/>
                <w:sz w:val="24"/>
                <w:highlight w:val="none"/>
                <w:lang w:eastAsia="zh-CN"/>
              </w:rPr>
              <w:t>.</w:t>
            </w:r>
            <w:r>
              <w:rPr>
                <w:rStyle w:val="41"/>
                <w:rFonts w:hint="eastAsia" w:ascii="Times New Roman" w:hAnsi="Times New Roman"/>
                <w:sz w:val="24"/>
                <w:highlight w:val="none"/>
                <w:lang w:eastAsia="zh-CN"/>
              </w:rPr>
              <w:t>1</w:t>
            </w:r>
            <w:r>
              <w:rPr>
                <w:rStyle w:val="41"/>
                <w:rFonts w:ascii="Times New Roman" w:hAnsi="Times New Roman"/>
                <w:sz w:val="24"/>
                <w:highlight w:val="none"/>
                <w:lang w:eastAsia="zh-CN"/>
              </w:rPr>
              <w:t>.</w:t>
            </w:r>
            <w:r>
              <w:rPr>
                <w:rStyle w:val="41"/>
                <w:rFonts w:hint="eastAsia" w:ascii="Times New Roman" w:hAnsi="Times New Roman"/>
                <w:sz w:val="24"/>
                <w:highlight w:val="none"/>
                <w:lang w:eastAsia="zh-CN"/>
              </w:rPr>
              <w:t>1</w:t>
            </w:r>
            <w:r>
              <w:rPr>
                <w:rFonts w:hint="eastAsia"/>
                <w:sz w:val="24"/>
                <w:highlight w:val="none"/>
              </w:rPr>
              <w:t>）</w:t>
            </w:r>
          </w:p>
          <w:p>
            <w:pPr>
              <w:spacing w:line="360" w:lineRule="auto"/>
              <w:ind w:firstLine="480" w:firstLineChars="200"/>
              <w:rPr>
                <w:sz w:val="24"/>
                <w:highlight w:val="none"/>
              </w:rPr>
            </w:pPr>
            <w:r>
              <w:rPr>
                <w:sz w:val="24"/>
                <w:highlight w:val="none"/>
              </w:rPr>
              <w:t>《中华人民共和国固体废物污染环境防治法》</w:t>
            </w:r>
            <w:r>
              <w:rPr>
                <w:rFonts w:hint="eastAsia"/>
                <w:sz w:val="24"/>
                <w:highlight w:val="none"/>
              </w:rPr>
              <w:t>（2015.4.24）</w:t>
            </w:r>
          </w:p>
          <w:p>
            <w:pPr>
              <w:spacing w:line="360" w:lineRule="auto"/>
              <w:ind w:firstLine="480" w:firstLineChars="200"/>
              <w:rPr>
                <w:sz w:val="24"/>
                <w:highlight w:val="none"/>
              </w:rPr>
            </w:pPr>
            <w:r>
              <w:rPr>
                <w:rFonts w:hint="eastAsia"/>
                <w:sz w:val="24"/>
                <w:highlight w:val="none"/>
              </w:rPr>
              <w:t>（2）</w:t>
            </w:r>
            <w:r>
              <w:rPr>
                <w:sz w:val="24"/>
                <w:highlight w:val="none"/>
              </w:rPr>
              <w:t>法规及规章标准条文：</w:t>
            </w:r>
          </w:p>
          <w:p>
            <w:pPr>
              <w:spacing w:line="360" w:lineRule="auto"/>
              <w:ind w:firstLine="480" w:firstLineChars="200"/>
              <w:rPr>
                <w:sz w:val="24"/>
                <w:highlight w:val="none"/>
              </w:rPr>
            </w:pPr>
            <w:r>
              <w:rPr>
                <w:sz w:val="24"/>
                <w:highlight w:val="none"/>
              </w:rPr>
              <w:t>《国家突发公共事件总体应急预案》</w:t>
            </w:r>
            <w:r>
              <w:rPr>
                <w:rFonts w:hint="eastAsia"/>
                <w:sz w:val="24"/>
                <w:highlight w:val="none"/>
              </w:rPr>
              <w:t>（</w:t>
            </w:r>
            <w:r>
              <w:rPr>
                <w:sz w:val="24"/>
                <w:highlight w:val="none"/>
              </w:rPr>
              <w:t>2006</w:t>
            </w:r>
            <w:r>
              <w:rPr>
                <w:rFonts w:hint="eastAsia"/>
                <w:sz w:val="24"/>
                <w:highlight w:val="none"/>
              </w:rPr>
              <w:t>.1.8）</w:t>
            </w:r>
          </w:p>
          <w:p>
            <w:pPr>
              <w:spacing w:line="360" w:lineRule="auto"/>
              <w:ind w:firstLine="480" w:firstLineChars="200"/>
              <w:rPr>
                <w:sz w:val="24"/>
                <w:highlight w:val="none"/>
              </w:rPr>
            </w:pPr>
            <w:r>
              <w:rPr>
                <w:sz w:val="24"/>
                <w:highlight w:val="none"/>
              </w:rPr>
              <w:t>《国家突发环境事件应急预案》</w:t>
            </w:r>
            <w:r>
              <w:rPr>
                <w:rFonts w:hint="eastAsia"/>
                <w:sz w:val="24"/>
                <w:highlight w:val="none"/>
              </w:rPr>
              <w:t>（</w:t>
            </w:r>
            <w:r>
              <w:rPr>
                <w:sz w:val="24"/>
                <w:highlight w:val="none"/>
              </w:rPr>
              <w:t>国务院令第34号令</w:t>
            </w:r>
            <w:r>
              <w:rPr>
                <w:rFonts w:hint="eastAsia"/>
                <w:sz w:val="24"/>
                <w:highlight w:val="none"/>
              </w:rPr>
              <w:t>）</w:t>
            </w:r>
          </w:p>
          <w:p>
            <w:pPr>
              <w:spacing w:line="360" w:lineRule="auto"/>
              <w:ind w:firstLine="480" w:firstLineChars="200"/>
              <w:rPr>
                <w:sz w:val="24"/>
                <w:highlight w:val="none"/>
              </w:rPr>
            </w:pPr>
            <w:bookmarkStart w:id="25" w:name="_Toc331596153"/>
            <w:r>
              <w:rPr>
                <w:sz w:val="24"/>
                <w:highlight w:val="none"/>
              </w:rPr>
              <w:t>《突发环境事件应急预案管理暂行办法》</w:t>
            </w:r>
            <w:bookmarkEnd w:id="25"/>
            <w:r>
              <w:rPr>
                <w:rFonts w:hint="eastAsia"/>
                <w:sz w:val="24"/>
                <w:highlight w:val="none"/>
              </w:rPr>
              <w:t>（</w:t>
            </w:r>
            <w:r>
              <w:rPr>
                <w:sz w:val="24"/>
                <w:highlight w:val="none"/>
              </w:rPr>
              <w:t>环发[2010]113号</w:t>
            </w:r>
            <w:r>
              <w:rPr>
                <w:rFonts w:hint="eastAsia"/>
                <w:sz w:val="24"/>
                <w:highlight w:val="none"/>
              </w:rPr>
              <w:t>）</w:t>
            </w:r>
          </w:p>
          <w:p>
            <w:pPr>
              <w:spacing w:line="360" w:lineRule="auto"/>
              <w:ind w:firstLine="480" w:firstLineChars="200"/>
              <w:rPr>
                <w:kern w:val="0"/>
                <w:sz w:val="24"/>
                <w:highlight w:val="none"/>
                <w:shd w:val="clear" w:color="auto" w:fill="FFFFFF"/>
              </w:rPr>
            </w:pPr>
            <w:r>
              <w:rPr>
                <w:kern w:val="0"/>
                <w:sz w:val="24"/>
                <w:highlight w:val="none"/>
                <w:shd w:val="clear" w:color="auto" w:fill="FFFFFF"/>
              </w:rPr>
              <w:t>《河北省突发事件预警信息发布管理办法》</w:t>
            </w:r>
          </w:p>
          <w:p>
            <w:pPr>
              <w:spacing w:line="360" w:lineRule="auto"/>
              <w:ind w:firstLine="480" w:firstLineChars="200"/>
              <w:rPr>
                <w:kern w:val="0"/>
                <w:sz w:val="24"/>
                <w:highlight w:val="none"/>
                <w:shd w:val="clear" w:color="auto" w:fill="FFFFFF"/>
              </w:rPr>
            </w:pPr>
            <w:r>
              <w:rPr>
                <w:sz w:val="24"/>
                <w:highlight w:val="none"/>
              </w:rPr>
              <w:t>《</w:t>
            </w:r>
            <w:r>
              <w:rPr>
                <w:sz w:val="24"/>
                <w:highlight w:val="none"/>
              </w:rPr>
              <w:fldChar w:fldCharType="begin"/>
            </w:r>
            <w:r>
              <w:rPr>
                <w:sz w:val="24"/>
                <w:highlight w:val="none"/>
              </w:rPr>
              <w:instrText xml:space="preserve"> HYPERLINK "http://www.baidu.com/link?url=LP_-AYSKtvQab6fe_6--19w9VmtASzPYjA3Jx_zQZifxq3CVIuu5JKFWn6UJoZkZTI6DwVqDdk82lPN0BEcecKfOMRSq9ZdmfBy7Ok6dXjVVECXMr4vT_EcrtwhBpckW-QjcsBR6mhl-Ho9BZzmFN7sSSdN3sQjUGGyPsUBTEB0-peDxaKDTUwXkM7TeocX2tL9mOale0mosFRIJXLzqBQlKBuJHa89hAM_RDncuxnBPlXAcw2BSiqTRERYyIJZTc2mrKuQQgVYiNwsfmipIs79kBmj98CT8YZxfCa-aB-zdvuOO5ui7DK-u_wyc37yI22vzv1aYHiJeVmgcqnk0z0dsxiZIQPGAo3byCaGwbn2J8esek7SaMINtS7MbWUEa" \t "_blank" </w:instrText>
            </w:r>
            <w:r>
              <w:rPr>
                <w:sz w:val="24"/>
                <w:highlight w:val="none"/>
              </w:rPr>
              <w:fldChar w:fldCharType="separate"/>
            </w:r>
            <w:r>
              <w:rPr>
                <w:rStyle w:val="15"/>
                <w:color w:val="auto"/>
                <w:sz w:val="24"/>
                <w:highlight w:val="none"/>
                <w:u w:val="none"/>
              </w:rPr>
              <w:t>企业事业单位突发环境事件应急预案备案管理办法</w:t>
            </w:r>
            <w:r>
              <w:rPr>
                <w:rStyle w:val="15"/>
                <w:rFonts w:hint="eastAsia"/>
                <w:color w:val="auto"/>
                <w:sz w:val="24"/>
                <w:highlight w:val="none"/>
                <w:u w:val="none"/>
              </w:rPr>
              <w:t>(</w:t>
            </w:r>
            <w:r>
              <w:rPr>
                <w:rStyle w:val="15"/>
                <w:color w:val="auto"/>
                <w:sz w:val="24"/>
                <w:highlight w:val="none"/>
                <w:u w:val="none"/>
              </w:rPr>
              <w:t>试行</w:t>
            </w:r>
            <w:r>
              <w:rPr>
                <w:rStyle w:val="15"/>
                <w:rFonts w:hint="eastAsia"/>
                <w:color w:val="auto"/>
                <w:sz w:val="24"/>
                <w:highlight w:val="none"/>
                <w:u w:val="none"/>
              </w:rPr>
              <w:t>)</w:t>
            </w:r>
            <w:r>
              <w:rPr>
                <w:sz w:val="24"/>
                <w:highlight w:val="none"/>
              </w:rPr>
              <w:fldChar w:fldCharType="end"/>
            </w:r>
            <w:r>
              <w:rPr>
                <w:sz w:val="24"/>
                <w:highlight w:val="none"/>
              </w:rPr>
              <w:t>》</w:t>
            </w:r>
          </w:p>
          <w:p>
            <w:pPr>
              <w:spacing w:line="360" w:lineRule="auto"/>
              <w:ind w:firstLine="480" w:firstLineChars="200"/>
              <w:rPr>
                <w:spacing w:val="-3"/>
                <w:kern w:val="0"/>
                <w:sz w:val="24"/>
                <w:highlight w:val="none"/>
                <w:shd w:val="clear" w:color="auto" w:fill="FFFFFF"/>
              </w:rPr>
            </w:pPr>
            <w:r>
              <w:rPr>
                <w:kern w:val="0"/>
                <w:sz w:val="24"/>
                <w:highlight w:val="none"/>
                <w:shd w:val="clear" w:color="auto" w:fill="FFFFFF"/>
              </w:rPr>
              <w:t>《河北省突发环境事件应急预案》</w:t>
            </w:r>
            <w:r>
              <w:rPr>
                <w:rFonts w:hint="eastAsia"/>
                <w:kern w:val="0"/>
                <w:sz w:val="24"/>
                <w:highlight w:val="none"/>
                <w:shd w:val="clear" w:color="auto" w:fill="FFFFFF"/>
              </w:rPr>
              <w:t>（</w:t>
            </w:r>
            <w:r>
              <w:rPr>
                <w:sz w:val="24"/>
                <w:highlight w:val="none"/>
                <w:shd w:val="clear" w:color="auto" w:fill="FFFFFF"/>
              </w:rPr>
              <w:t>冀政办[2006]3号</w:t>
            </w:r>
            <w:r>
              <w:rPr>
                <w:rFonts w:hint="eastAsia"/>
                <w:kern w:val="0"/>
                <w:sz w:val="24"/>
                <w:highlight w:val="none"/>
                <w:shd w:val="clear" w:color="auto" w:fill="FFFFFF"/>
              </w:rPr>
              <w:t>）</w:t>
            </w:r>
          </w:p>
          <w:p>
            <w:pPr>
              <w:spacing w:line="360" w:lineRule="auto"/>
              <w:ind w:firstLine="480" w:firstLineChars="200"/>
              <w:rPr>
                <w:sz w:val="24"/>
                <w:highlight w:val="none"/>
              </w:rPr>
            </w:pPr>
            <w:bookmarkStart w:id="26" w:name="_Toc332702313"/>
            <w:bookmarkStart w:id="27" w:name="_Toc332008290"/>
            <w:bookmarkStart w:id="28" w:name="_Toc403977329"/>
            <w:bookmarkStart w:id="29" w:name="_Toc335483176"/>
            <w:bookmarkStart w:id="30" w:name="_Toc332264814"/>
            <w:bookmarkStart w:id="31" w:name="_Toc331607652"/>
            <w:bookmarkStart w:id="32" w:name="_Toc331596154"/>
            <w:bookmarkStart w:id="33" w:name="_Toc334451358"/>
            <w:bookmarkStart w:id="34" w:name="_Toc334535979"/>
            <w:bookmarkStart w:id="35" w:name="_Toc335903625"/>
            <w:bookmarkStart w:id="36" w:name="_Toc340493610"/>
            <w:bookmarkStart w:id="37" w:name="_Toc11364"/>
            <w:bookmarkStart w:id="38" w:name="_Toc334608785"/>
            <w:bookmarkStart w:id="39" w:name="_Toc331607695"/>
            <w:bookmarkStart w:id="40" w:name="_Toc332719686"/>
            <w:bookmarkStart w:id="41" w:name="_Toc408734737"/>
            <w:bookmarkStart w:id="42" w:name="_Toc335483278"/>
            <w:bookmarkStart w:id="43" w:name="_Toc332264943"/>
            <w:r>
              <w:rPr>
                <w:sz w:val="24"/>
                <w:highlight w:val="none"/>
              </w:rPr>
              <w:t>《突发环境事件信息报告办法》</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hint="eastAsia"/>
                <w:sz w:val="24"/>
                <w:highlight w:val="none"/>
              </w:rPr>
              <w:t>（</w:t>
            </w:r>
            <w:r>
              <w:rPr>
                <w:sz w:val="24"/>
                <w:highlight w:val="none"/>
              </w:rPr>
              <w:t>环保部令 第17号</w:t>
            </w:r>
            <w:r>
              <w:rPr>
                <w:rFonts w:hint="eastAsia"/>
                <w:sz w:val="24"/>
                <w:highlight w:val="none"/>
              </w:rPr>
              <w:t>）</w:t>
            </w:r>
          </w:p>
          <w:p>
            <w:pPr>
              <w:spacing w:line="360" w:lineRule="auto"/>
              <w:ind w:firstLine="480" w:firstLineChars="200"/>
              <w:rPr>
                <w:sz w:val="24"/>
                <w:highlight w:val="none"/>
              </w:rPr>
            </w:pPr>
            <w:r>
              <w:rPr>
                <w:sz w:val="24"/>
                <w:highlight w:val="none"/>
              </w:rPr>
              <w:t>《危险化学品</w:t>
            </w:r>
            <w:r>
              <w:rPr>
                <w:rFonts w:hint="eastAsia"/>
                <w:sz w:val="24"/>
                <w:highlight w:val="none"/>
              </w:rPr>
              <w:t>环保负责人</w:t>
            </w:r>
            <w:r>
              <w:rPr>
                <w:sz w:val="24"/>
                <w:highlight w:val="none"/>
              </w:rPr>
              <w:t>条例》</w:t>
            </w:r>
            <w:r>
              <w:rPr>
                <w:rFonts w:hint="eastAsia"/>
                <w:sz w:val="24"/>
                <w:highlight w:val="none"/>
              </w:rPr>
              <w:t>（</w:t>
            </w:r>
            <w:r>
              <w:rPr>
                <w:sz w:val="24"/>
                <w:highlight w:val="none"/>
              </w:rPr>
              <w:t>国务院令第591号</w:t>
            </w:r>
            <w:r>
              <w:rPr>
                <w:rFonts w:hint="eastAsia"/>
                <w:sz w:val="24"/>
                <w:highlight w:val="none"/>
              </w:rPr>
              <w:t>）</w:t>
            </w:r>
          </w:p>
          <w:p>
            <w:pPr>
              <w:spacing w:line="360" w:lineRule="auto"/>
              <w:ind w:firstLine="480" w:firstLineChars="200"/>
              <w:rPr>
                <w:sz w:val="24"/>
                <w:highlight w:val="none"/>
              </w:rPr>
            </w:pPr>
            <w:r>
              <w:rPr>
                <w:sz w:val="24"/>
                <w:highlight w:val="none"/>
              </w:rPr>
              <w:t>《危险化学品目录(2015版</w:t>
            </w:r>
            <w:r>
              <w:rPr>
                <w:rFonts w:hint="eastAsia"/>
                <w:sz w:val="24"/>
                <w:highlight w:val="none"/>
              </w:rPr>
              <w:t>)</w:t>
            </w:r>
            <w:r>
              <w:rPr>
                <w:sz w:val="24"/>
                <w:highlight w:val="none"/>
              </w:rPr>
              <w:t>》</w:t>
            </w:r>
            <w:r>
              <w:rPr>
                <w:rFonts w:hint="eastAsia"/>
                <w:sz w:val="24"/>
                <w:highlight w:val="none"/>
              </w:rPr>
              <w:t>（</w:t>
            </w:r>
            <w:r>
              <w:rPr>
                <w:rFonts w:eastAsia="sans-serif"/>
                <w:sz w:val="24"/>
                <w:highlight w:val="none"/>
                <w:shd w:val="clear" w:color="auto" w:fill="FFFFFF"/>
              </w:rPr>
              <w:t>安全监管总局会同工业和信息化部、公安部、环境保护部、交通运输部、农业部、国家卫生计生委、质检总局、铁路局、民航局</w:t>
            </w:r>
            <w:r>
              <w:rPr>
                <w:sz w:val="24"/>
                <w:highlight w:val="none"/>
                <w:shd w:val="clear" w:color="auto" w:fill="FFFFFF"/>
              </w:rPr>
              <w:t>公告2015第5号</w:t>
            </w:r>
            <w:r>
              <w:rPr>
                <w:rFonts w:hint="eastAsia"/>
                <w:sz w:val="24"/>
                <w:highlight w:val="none"/>
              </w:rPr>
              <w:t>）</w:t>
            </w:r>
          </w:p>
          <w:p>
            <w:pPr>
              <w:spacing w:line="360" w:lineRule="auto"/>
              <w:ind w:firstLine="480" w:firstLineChars="200"/>
              <w:rPr>
                <w:sz w:val="24"/>
                <w:highlight w:val="none"/>
              </w:rPr>
            </w:pPr>
            <w:r>
              <w:rPr>
                <w:sz w:val="24"/>
                <w:highlight w:val="none"/>
              </w:rPr>
              <w:t>《危险化学品重大危险源辨识》</w:t>
            </w:r>
            <w:r>
              <w:rPr>
                <w:rFonts w:hint="eastAsia"/>
                <w:sz w:val="24"/>
                <w:highlight w:val="none"/>
              </w:rPr>
              <w:t>（</w:t>
            </w:r>
            <w:r>
              <w:rPr>
                <w:sz w:val="24"/>
                <w:highlight w:val="none"/>
              </w:rPr>
              <w:t>GB18218-2014</w:t>
            </w:r>
            <w:r>
              <w:rPr>
                <w:rFonts w:hint="eastAsia"/>
                <w:sz w:val="24"/>
                <w:highlight w:val="none"/>
              </w:rPr>
              <w:t>）</w:t>
            </w:r>
          </w:p>
          <w:p>
            <w:pPr>
              <w:spacing w:line="360" w:lineRule="auto"/>
              <w:ind w:firstLine="480" w:firstLineChars="200"/>
              <w:rPr>
                <w:sz w:val="24"/>
                <w:highlight w:val="none"/>
              </w:rPr>
            </w:pPr>
            <w:r>
              <w:rPr>
                <w:sz w:val="24"/>
                <w:highlight w:val="none"/>
              </w:rPr>
              <w:t>《关于进一步做好突发环境事件应急预案备案工作的通知》</w:t>
            </w:r>
          </w:p>
          <w:p>
            <w:pPr>
              <w:spacing w:line="360" w:lineRule="auto"/>
              <w:ind w:firstLine="480" w:firstLineChars="200"/>
              <w:rPr>
                <w:sz w:val="24"/>
                <w:highlight w:val="none"/>
              </w:rPr>
            </w:pPr>
            <w:r>
              <w:rPr>
                <w:sz w:val="24"/>
                <w:highlight w:val="none"/>
              </w:rPr>
              <w:t>《建设项目环境风险评价技术导则》</w:t>
            </w:r>
            <w:r>
              <w:rPr>
                <w:rFonts w:hint="eastAsia"/>
                <w:sz w:val="24"/>
                <w:highlight w:val="none"/>
              </w:rPr>
              <w:t>（</w:t>
            </w:r>
            <w:r>
              <w:rPr>
                <w:sz w:val="24"/>
                <w:highlight w:val="none"/>
              </w:rPr>
              <w:t>HJ/T 169-2004</w:t>
            </w:r>
            <w:r>
              <w:rPr>
                <w:rFonts w:hint="eastAsia"/>
                <w:sz w:val="24"/>
                <w:highlight w:val="none"/>
              </w:rPr>
              <w:t>）</w:t>
            </w:r>
          </w:p>
          <w:p>
            <w:pPr>
              <w:spacing w:line="360" w:lineRule="auto"/>
              <w:ind w:firstLine="480" w:firstLineChars="200"/>
              <w:rPr>
                <w:sz w:val="24"/>
                <w:highlight w:val="none"/>
              </w:rPr>
            </w:pPr>
            <w:r>
              <w:rPr>
                <w:sz w:val="24"/>
                <w:highlight w:val="none"/>
              </w:rPr>
              <w:t>《关于进一步做好突发环境事件应急预案备案工作的通知</w:t>
            </w:r>
            <w:r>
              <w:rPr>
                <w:rFonts w:hint="eastAsia"/>
                <w:sz w:val="24"/>
                <w:highlight w:val="none"/>
              </w:rPr>
              <w:t>》（</w:t>
            </w:r>
            <w:r>
              <w:rPr>
                <w:sz w:val="24"/>
                <w:highlight w:val="none"/>
              </w:rPr>
              <w:t>冀环办发[2012]164号</w:t>
            </w:r>
            <w:r>
              <w:rPr>
                <w:rFonts w:hint="eastAsia"/>
                <w:sz w:val="24"/>
                <w:highlight w:val="none"/>
              </w:rPr>
              <w:t>）</w:t>
            </w:r>
          </w:p>
          <w:p>
            <w:pPr>
              <w:spacing w:line="360" w:lineRule="auto"/>
              <w:ind w:firstLine="480" w:firstLineChars="200"/>
              <w:rPr>
                <w:sz w:val="24"/>
                <w:highlight w:val="none"/>
              </w:rPr>
            </w:pPr>
            <w:r>
              <w:rPr>
                <w:sz w:val="24"/>
                <w:highlight w:val="none"/>
              </w:rPr>
              <w:t>《转发省环保厅关于进一步做好突发环境事件应急预案备案工作的通知》</w:t>
            </w:r>
            <w:r>
              <w:rPr>
                <w:rFonts w:hint="eastAsia"/>
                <w:sz w:val="24"/>
                <w:highlight w:val="none"/>
              </w:rPr>
              <w:t>（</w:t>
            </w:r>
            <w:r>
              <w:rPr>
                <w:sz w:val="24"/>
                <w:highlight w:val="none"/>
              </w:rPr>
              <w:t>[2012]保环119号</w:t>
            </w:r>
            <w:r>
              <w:rPr>
                <w:rFonts w:hint="eastAsia"/>
                <w:sz w:val="24"/>
                <w:highlight w:val="none"/>
              </w:rPr>
              <w:t>）</w:t>
            </w:r>
          </w:p>
          <w:p>
            <w:pPr>
              <w:spacing w:line="360" w:lineRule="auto"/>
              <w:ind w:firstLine="480" w:firstLineChars="200"/>
              <w:rPr>
                <w:sz w:val="24"/>
                <w:highlight w:val="none"/>
              </w:rPr>
            </w:pPr>
            <w:r>
              <w:rPr>
                <w:sz w:val="24"/>
                <w:highlight w:val="none"/>
              </w:rPr>
              <w:t>国家环境保护部关于印发《企业事业单位突发环境事件应急预案备案管理办法</w:t>
            </w:r>
            <w:r>
              <w:rPr>
                <w:rFonts w:hint="eastAsia"/>
                <w:sz w:val="24"/>
                <w:highlight w:val="none"/>
              </w:rPr>
              <w:t>(</w:t>
            </w:r>
            <w:r>
              <w:rPr>
                <w:sz w:val="24"/>
                <w:highlight w:val="none"/>
              </w:rPr>
              <w:t>试行</w:t>
            </w:r>
            <w:r>
              <w:rPr>
                <w:rFonts w:hint="eastAsia"/>
                <w:sz w:val="24"/>
                <w:highlight w:val="none"/>
              </w:rPr>
              <w:t>)</w:t>
            </w:r>
            <w:r>
              <w:rPr>
                <w:sz w:val="24"/>
                <w:highlight w:val="none"/>
              </w:rPr>
              <w:t>》的通知</w:t>
            </w:r>
            <w:r>
              <w:rPr>
                <w:rFonts w:hint="eastAsia"/>
                <w:sz w:val="24"/>
                <w:highlight w:val="none"/>
              </w:rPr>
              <w:t>（</w:t>
            </w:r>
            <w:r>
              <w:rPr>
                <w:sz w:val="24"/>
                <w:highlight w:val="none"/>
              </w:rPr>
              <w:t>环发[2015]4号</w:t>
            </w:r>
            <w:r>
              <w:rPr>
                <w:rFonts w:hint="eastAsia"/>
                <w:sz w:val="24"/>
                <w:highlight w:val="none"/>
              </w:rPr>
              <w:t>）</w:t>
            </w:r>
          </w:p>
          <w:p>
            <w:pPr>
              <w:spacing w:line="360" w:lineRule="auto"/>
              <w:ind w:firstLine="480" w:firstLineChars="200"/>
              <w:rPr>
                <w:rFonts w:hint="eastAsia"/>
                <w:color w:val="000000"/>
                <w:sz w:val="24"/>
                <w:highlight w:val="none"/>
              </w:rPr>
            </w:pPr>
            <w:r>
              <w:rPr>
                <w:sz w:val="24"/>
                <w:highlight w:val="none"/>
              </w:rPr>
              <w:t>国家环境保护部关于印发《企业突发环境事件风险评估指南</w:t>
            </w:r>
            <w:r>
              <w:rPr>
                <w:rFonts w:hint="eastAsia"/>
                <w:sz w:val="24"/>
                <w:highlight w:val="none"/>
              </w:rPr>
              <w:t>(</w:t>
            </w:r>
            <w:r>
              <w:rPr>
                <w:sz w:val="24"/>
                <w:highlight w:val="none"/>
              </w:rPr>
              <w:t>试行</w:t>
            </w:r>
            <w:r>
              <w:rPr>
                <w:rFonts w:hint="eastAsia"/>
                <w:sz w:val="24"/>
                <w:highlight w:val="none"/>
              </w:rPr>
              <w:t>)</w:t>
            </w:r>
            <w:r>
              <w:rPr>
                <w:sz w:val="24"/>
                <w:highlight w:val="none"/>
              </w:rPr>
              <w:t>》的通知</w:t>
            </w:r>
            <w:r>
              <w:rPr>
                <w:rFonts w:hint="eastAsia"/>
                <w:sz w:val="24"/>
                <w:highlight w:val="none"/>
              </w:rPr>
              <w:t>（</w:t>
            </w:r>
            <w:r>
              <w:rPr>
                <w:sz w:val="24"/>
                <w:highlight w:val="none"/>
              </w:rPr>
              <w:t>环发[</w:t>
            </w:r>
            <w:r>
              <w:rPr>
                <w:color w:val="000000"/>
                <w:sz w:val="24"/>
                <w:highlight w:val="none"/>
              </w:rPr>
              <w:t>2014]34号</w:t>
            </w:r>
            <w:r>
              <w:rPr>
                <w:rFonts w:hint="eastAsia"/>
                <w:color w:val="000000"/>
                <w:sz w:val="24"/>
                <w:highlight w:val="none"/>
              </w:rPr>
              <w:t>）</w:t>
            </w:r>
          </w:p>
          <w:p>
            <w:pPr>
              <w:pStyle w:val="2"/>
              <w:rPr>
                <w:color w:val="000000"/>
                <w:highlight w:val="none"/>
              </w:rPr>
            </w:pPr>
            <w:r>
              <w:rPr>
                <w:rFonts w:hint="eastAsia" w:ascii="Times New Roman" w:hAnsi="Times New Roman"/>
                <w:color w:val="000000"/>
                <w:sz w:val="24"/>
                <w:highlight w:val="none"/>
              </w:rPr>
              <w:t>《企业突发环境事件风险分级方法》（HJ941-2018）</w:t>
            </w:r>
          </w:p>
          <w:p>
            <w:pPr>
              <w:pStyle w:val="4"/>
              <w:spacing w:before="0" w:after="0" w:line="360" w:lineRule="auto"/>
              <w:rPr>
                <w:rFonts w:ascii="Times New Roman" w:hAnsi="Times New Roman"/>
                <w:sz w:val="24"/>
                <w:szCs w:val="24"/>
                <w:highlight w:val="none"/>
              </w:rPr>
            </w:pPr>
            <w:bookmarkStart w:id="44" w:name="_Toc50554713"/>
            <w:bookmarkStart w:id="45" w:name="_Toc1339"/>
            <w:bookmarkStart w:id="46" w:name="_Toc9473"/>
            <w:bookmarkStart w:id="47" w:name="_Toc9297"/>
            <w:bookmarkStart w:id="48" w:name="_Toc408734738"/>
            <w:bookmarkStart w:id="49" w:name="_Toc14715"/>
            <w:r>
              <w:rPr>
                <w:rFonts w:ascii="Times New Roman" w:hAnsi="Times New Roman"/>
                <w:sz w:val="24"/>
                <w:szCs w:val="24"/>
                <w:highlight w:val="none"/>
              </w:rPr>
              <w:t>1.3</w:t>
            </w:r>
            <w:r>
              <w:rPr>
                <w:rFonts w:hint="eastAsia" w:ascii="Times New Roman" w:hAnsi="Times New Roman"/>
                <w:sz w:val="24"/>
                <w:szCs w:val="24"/>
                <w:highlight w:val="none"/>
              </w:rPr>
              <w:t xml:space="preserve"> </w:t>
            </w:r>
            <w:r>
              <w:rPr>
                <w:rFonts w:ascii="Times New Roman" w:hAnsi="Times New Roman"/>
                <w:sz w:val="24"/>
                <w:szCs w:val="24"/>
                <w:highlight w:val="none"/>
              </w:rPr>
              <w:t>工作原则</w:t>
            </w:r>
            <w:bookmarkEnd w:id="23"/>
            <w:bookmarkEnd w:id="24"/>
            <w:bookmarkEnd w:id="44"/>
            <w:bookmarkEnd w:id="45"/>
            <w:bookmarkEnd w:id="46"/>
            <w:bookmarkEnd w:id="47"/>
            <w:bookmarkEnd w:id="48"/>
            <w:bookmarkEnd w:id="49"/>
          </w:p>
          <w:p>
            <w:pPr>
              <w:spacing w:line="360" w:lineRule="auto"/>
              <w:ind w:firstLine="480" w:firstLineChars="200"/>
              <w:rPr>
                <w:sz w:val="24"/>
                <w:highlight w:val="none"/>
              </w:rPr>
            </w:pPr>
            <w:bookmarkStart w:id="50" w:name="_Toc268088060"/>
            <w:r>
              <w:rPr>
                <w:sz w:val="24"/>
                <w:highlight w:val="none"/>
              </w:rPr>
              <w:t>以人为本，环保优先；预防为主，防控结合；快速响应，高效统一；就近处置，防止扩散；科学应急，损失最小；汲取经验，持续改进。</w:t>
            </w:r>
          </w:p>
          <w:bookmarkEnd w:id="50"/>
          <w:p>
            <w:pPr>
              <w:pStyle w:val="4"/>
              <w:spacing w:before="0" w:after="0" w:line="360" w:lineRule="auto"/>
              <w:rPr>
                <w:rFonts w:ascii="Times New Roman" w:hAnsi="Times New Roman"/>
                <w:sz w:val="24"/>
                <w:szCs w:val="24"/>
                <w:highlight w:val="none"/>
              </w:rPr>
            </w:pPr>
            <w:bookmarkStart w:id="51" w:name="_Toc313023145"/>
            <w:bookmarkStart w:id="52" w:name="_Toc408734739"/>
            <w:bookmarkStart w:id="53" w:name="_Toc50554714"/>
            <w:bookmarkStart w:id="54" w:name="_Toc13672"/>
            <w:bookmarkStart w:id="55" w:name="_Toc10018"/>
            <w:bookmarkStart w:id="56" w:name="_Toc15991"/>
            <w:bookmarkStart w:id="57" w:name="_Toc10233"/>
            <w:bookmarkStart w:id="58" w:name="_Toc306266592"/>
            <w:bookmarkStart w:id="59" w:name="_Toc268088061"/>
            <w:bookmarkStart w:id="60" w:name="_Toc304533416"/>
            <w:r>
              <w:rPr>
                <w:rFonts w:ascii="Times New Roman" w:hAnsi="Times New Roman"/>
                <w:sz w:val="24"/>
                <w:szCs w:val="24"/>
                <w:highlight w:val="none"/>
              </w:rPr>
              <w:t>1.4</w:t>
            </w:r>
            <w:r>
              <w:rPr>
                <w:rFonts w:hint="eastAsia" w:ascii="Times New Roman" w:hAnsi="Times New Roman"/>
                <w:sz w:val="24"/>
                <w:szCs w:val="24"/>
                <w:highlight w:val="none"/>
              </w:rPr>
              <w:t xml:space="preserve"> </w:t>
            </w:r>
            <w:r>
              <w:rPr>
                <w:rFonts w:ascii="Times New Roman" w:hAnsi="Times New Roman"/>
                <w:sz w:val="24"/>
                <w:szCs w:val="24"/>
                <w:highlight w:val="none"/>
              </w:rPr>
              <w:t>预案</w:t>
            </w:r>
            <w:bookmarkEnd w:id="51"/>
            <w:bookmarkEnd w:id="52"/>
            <w:r>
              <w:rPr>
                <w:rFonts w:ascii="Times New Roman" w:hAnsi="Times New Roman"/>
                <w:sz w:val="24"/>
                <w:szCs w:val="24"/>
                <w:highlight w:val="none"/>
              </w:rPr>
              <w:t>分级</w:t>
            </w:r>
            <w:bookmarkEnd w:id="53"/>
            <w:bookmarkEnd w:id="54"/>
            <w:bookmarkEnd w:id="55"/>
            <w:bookmarkEnd w:id="56"/>
            <w:bookmarkEnd w:id="57"/>
          </w:p>
          <w:p>
            <w:pPr>
              <w:pStyle w:val="2"/>
              <w:snapToGrid w:val="0"/>
              <w:spacing w:line="360" w:lineRule="auto"/>
              <w:ind w:left="0" w:leftChars="0" w:firstLine="480" w:firstLineChars="200"/>
              <w:rPr>
                <w:rFonts w:hint="eastAsia"/>
                <w:sz w:val="24"/>
                <w:highlight w:val="none"/>
              </w:rPr>
            </w:pPr>
            <w:r>
              <w:rPr>
                <w:kern w:val="0"/>
                <w:sz w:val="24"/>
                <w:highlight w:val="none"/>
                <w:shd w:val="clear" w:color="auto" w:fill="FFFFFF"/>
              </w:rPr>
              <w:t>依据</w:t>
            </w:r>
            <w:r>
              <w:rPr>
                <w:rFonts w:hint="eastAsia"/>
                <w:sz w:val="24"/>
                <w:highlight w:val="none"/>
              </w:rPr>
              <w:t>国家环境保护部关于印发</w:t>
            </w:r>
            <w:r>
              <w:rPr>
                <w:rFonts w:hint="eastAsia" w:ascii="Times New Roman" w:hAnsi="Times New Roman"/>
                <w:color w:val="000000"/>
                <w:sz w:val="24"/>
                <w:highlight w:val="none"/>
              </w:rPr>
              <w:t>《企业突发环境事件风险分级方法》（HJ941-2018）</w:t>
            </w:r>
            <w:r>
              <w:rPr>
                <w:kern w:val="0"/>
                <w:sz w:val="24"/>
                <w:highlight w:val="none"/>
                <w:shd w:val="clear" w:color="auto" w:fill="FFFFFF"/>
              </w:rPr>
              <w:t>，按照突发事件严重性和紧急程度，突发环境事件分为重大</w:t>
            </w:r>
            <w:r>
              <w:rPr>
                <w:rFonts w:hint="eastAsia"/>
                <w:kern w:val="0"/>
                <w:sz w:val="24"/>
                <w:highlight w:val="none"/>
                <w:shd w:val="clear" w:color="auto" w:fill="FFFFFF"/>
              </w:rPr>
              <w:t>环境风险（</w:t>
            </w:r>
            <w:r>
              <w:rPr>
                <w:kern w:val="0"/>
                <w:sz w:val="24"/>
                <w:highlight w:val="none"/>
                <w:shd w:val="clear" w:color="auto" w:fill="FFFFFF"/>
              </w:rPr>
              <w:fldChar w:fldCharType="begin"/>
            </w:r>
            <w:r>
              <w:rPr>
                <w:kern w:val="0"/>
                <w:sz w:val="24"/>
                <w:highlight w:val="none"/>
                <w:shd w:val="clear" w:color="auto" w:fill="FFFFFF"/>
              </w:rPr>
              <w:instrText xml:space="preserve"> </w:instrText>
            </w:r>
            <w:r>
              <w:rPr>
                <w:rFonts w:hint="eastAsia"/>
                <w:kern w:val="0"/>
                <w:sz w:val="24"/>
                <w:highlight w:val="none"/>
                <w:shd w:val="clear" w:color="auto" w:fill="FFFFFF"/>
              </w:rPr>
              <w:instrText xml:space="preserve">= 1 \* ROMAN</w:instrText>
            </w:r>
            <w:r>
              <w:rPr>
                <w:kern w:val="0"/>
                <w:sz w:val="24"/>
                <w:highlight w:val="none"/>
                <w:shd w:val="clear" w:color="auto" w:fill="FFFFFF"/>
              </w:rPr>
              <w:instrText xml:space="preserve"> </w:instrText>
            </w:r>
            <w:r>
              <w:rPr>
                <w:kern w:val="0"/>
                <w:sz w:val="24"/>
                <w:highlight w:val="none"/>
                <w:shd w:val="clear" w:color="auto" w:fill="FFFFFF"/>
              </w:rPr>
              <w:fldChar w:fldCharType="separate"/>
            </w:r>
            <w:r>
              <w:rPr>
                <w:kern w:val="0"/>
                <w:sz w:val="24"/>
                <w:highlight w:val="none"/>
                <w:shd w:val="clear" w:color="auto" w:fill="FFFFFF"/>
              </w:rPr>
              <w:t>I</w:t>
            </w:r>
            <w:r>
              <w:rPr>
                <w:kern w:val="0"/>
                <w:sz w:val="24"/>
                <w:highlight w:val="none"/>
                <w:shd w:val="clear" w:color="auto" w:fill="FFFFFF"/>
              </w:rPr>
              <w:fldChar w:fldCharType="end"/>
            </w:r>
            <w:r>
              <w:rPr>
                <w:rFonts w:hint="eastAsia"/>
                <w:kern w:val="0"/>
                <w:sz w:val="24"/>
                <w:highlight w:val="none"/>
                <w:shd w:val="clear" w:color="auto" w:fill="FFFFFF"/>
              </w:rPr>
              <w:t>）</w:t>
            </w:r>
            <w:r>
              <w:rPr>
                <w:kern w:val="0"/>
                <w:sz w:val="24"/>
                <w:highlight w:val="none"/>
                <w:shd w:val="clear" w:color="auto" w:fill="FFFFFF"/>
              </w:rPr>
              <w:t>、较大</w:t>
            </w:r>
            <w:r>
              <w:rPr>
                <w:rFonts w:hint="eastAsia"/>
                <w:kern w:val="0"/>
                <w:sz w:val="24"/>
                <w:highlight w:val="none"/>
                <w:shd w:val="clear" w:color="auto" w:fill="FFFFFF"/>
              </w:rPr>
              <w:t>环境风险（</w:t>
            </w:r>
            <w:r>
              <w:rPr>
                <w:kern w:val="0"/>
                <w:sz w:val="24"/>
                <w:highlight w:val="none"/>
                <w:shd w:val="clear" w:color="auto" w:fill="FFFFFF"/>
              </w:rPr>
              <w:fldChar w:fldCharType="begin"/>
            </w:r>
            <w:r>
              <w:rPr>
                <w:kern w:val="0"/>
                <w:sz w:val="24"/>
                <w:highlight w:val="none"/>
                <w:shd w:val="clear" w:color="auto" w:fill="FFFFFF"/>
              </w:rPr>
              <w:instrText xml:space="preserve"> </w:instrText>
            </w:r>
            <w:r>
              <w:rPr>
                <w:rFonts w:hint="eastAsia"/>
                <w:kern w:val="0"/>
                <w:sz w:val="24"/>
                <w:highlight w:val="none"/>
                <w:shd w:val="clear" w:color="auto" w:fill="FFFFFF"/>
              </w:rPr>
              <w:instrText xml:space="preserve">= 2 \* ROMAN</w:instrText>
            </w:r>
            <w:r>
              <w:rPr>
                <w:kern w:val="0"/>
                <w:sz w:val="24"/>
                <w:highlight w:val="none"/>
                <w:shd w:val="clear" w:color="auto" w:fill="FFFFFF"/>
              </w:rPr>
              <w:instrText xml:space="preserve"> </w:instrText>
            </w:r>
            <w:r>
              <w:rPr>
                <w:kern w:val="0"/>
                <w:sz w:val="24"/>
                <w:highlight w:val="none"/>
                <w:shd w:val="clear" w:color="auto" w:fill="FFFFFF"/>
              </w:rPr>
              <w:fldChar w:fldCharType="separate"/>
            </w:r>
            <w:r>
              <w:rPr>
                <w:kern w:val="0"/>
                <w:sz w:val="24"/>
                <w:highlight w:val="none"/>
                <w:shd w:val="clear" w:color="auto" w:fill="FFFFFF"/>
              </w:rPr>
              <w:t>II</w:t>
            </w:r>
            <w:r>
              <w:rPr>
                <w:kern w:val="0"/>
                <w:sz w:val="24"/>
                <w:highlight w:val="none"/>
                <w:shd w:val="clear" w:color="auto" w:fill="FFFFFF"/>
              </w:rPr>
              <w:fldChar w:fldCharType="end"/>
            </w:r>
            <w:r>
              <w:rPr>
                <w:rFonts w:hint="eastAsia"/>
                <w:kern w:val="0"/>
                <w:sz w:val="24"/>
                <w:highlight w:val="none"/>
                <w:shd w:val="clear" w:color="auto" w:fill="FFFFFF"/>
              </w:rPr>
              <w:t>）</w:t>
            </w:r>
            <w:r>
              <w:rPr>
                <w:kern w:val="0"/>
                <w:sz w:val="24"/>
                <w:highlight w:val="none"/>
                <w:shd w:val="clear" w:color="auto" w:fill="FFFFFF"/>
              </w:rPr>
              <w:t>和一般</w:t>
            </w:r>
            <w:r>
              <w:rPr>
                <w:rFonts w:hint="eastAsia"/>
                <w:kern w:val="0"/>
                <w:sz w:val="24"/>
                <w:highlight w:val="none"/>
                <w:shd w:val="clear" w:color="auto" w:fill="FFFFFF"/>
              </w:rPr>
              <w:t>环境风险（</w:t>
            </w:r>
            <w:r>
              <w:rPr>
                <w:kern w:val="0"/>
                <w:sz w:val="24"/>
                <w:highlight w:val="none"/>
                <w:shd w:val="clear" w:color="auto" w:fill="FFFFFF"/>
              </w:rPr>
              <w:fldChar w:fldCharType="begin"/>
            </w:r>
            <w:r>
              <w:rPr>
                <w:kern w:val="0"/>
                <w:sz w:val="24"/>
                <w:highlight w:val="none"/>
                <w:shd w:val="clear" w:color="auto" w:fill="FFFFFF"/>
              </w:rPr>
              <w:instrText xml:space="preserve"> </w:instrText>
            </w:r>
            <w:r>
              <w:rPr>
                <w:rFonts w:hint="eastAsia"/>
                <w:kern w:val="0"/>
                <w:sz w:val="24"/>
                <w:highlight w:val="none"/>
                <w:shd w:val="clear" w:color="auto" w:fill="FFFFFF"/>
              </w:rPr>
              <w:instrText xml:space="preserve">= 3 \* ROMAN</w:instrText>
            </w:r>
            <w:r>
              <w:rPr>
                <w:kern w:val="0"/>
                <w:sz w:val="24"/>
                <w:highlight w:val="none"/>
                <w:shd w:val="clear" w:color="auto" w:fill="FFFFFF"/>
              </w:rPr>
              <w:instrText xml:space="preserve"> </w:instrText>
            </w:r>
            <w:r>
              <w:rPr>
                <w:kern w:val="0"/>
                <w:sz w:val="24"/>
                <w:highlight w:val="none"/>
                <w:shd w:val="clear" w:color="auto" w:fill="FFFFFF"/>
              </w:rPr>
              <w:fldChar w:fldCharType="separate"/>
            </w:r>
            <w:r>
              <w:rPr>
                <w:kern w:val="0"/>
                <w:sz w:val="24"/>
                <w:highlight w:val="none"/>
                <w:shd w:val="clear" w:color="auto" w:fill="FFFFFF"/>
              </w:rPr>
              <w:t>III</w:t>
            </w:r>
            <w:r>
              <w:rPr>
                <w:kern w:val="0"/>
                <w:sz w:val="24"/>
                <w:highlight w:val="none"/>
                <w:shd w:val="clear" w:color="auto" w:fill="FFFFFF"/>
              </w:rPr>
              <w:fldChar w:fldCharType="end"/>
            </w:r>
            <w:r>
              <w:rPr>
                <w:rFonts w:hint="eastAsia"/>
                <w:kern w:val="0"/>
                <w:sz w:val="24"/>
                <w:highlight w:val="none"/>
                <w:shd w:val="clear" w:color="auto" w:fill="FFFFFF"/>
              </w:rPr>
              <w:t>）</w:t>
            </w:r>
            <w:r>
              <w:rPr>
                <w:kern w:val="0"/>
                <w:sz w:val="24"/>
                <w:highlight w:val="none"/>
                <w:shd w:val="clear" w:color="auto" w:fill="FFFFFF"/>
              </w:rPr>
              <w:t>。</w:t>
            </w:r>
            <w:r>
              <w:rPr>
                <w:sz w:val="24"/>
                <w:highlight w:val="none"/>
              </w:rPr>
              <w:t>预警信号依次为橙色、</w:t>
            </w:r>
            <w:r>
              <w:rPr>
                <w:rFonts w:hint="eastAsia"/>
                <w:sz w:val="24"/>
                <w:highlight w:val="none"/>
              </w:rPr>
              <w:t>黄色和蓝色</w:t>
            </w:r>
            <w:r>
              <w:rPr>
                <w:sz w:val="24"/>
                <w:highlight w:val="none"/>
              </w:rPr>
              <w:t>。</w:t>
            </w:r>
          </w:p>
          <w:p>
            <w:pPr>
              <w:snapToGrid w:val="0"/>
              <w:spacing w:line="360" w:lineRule="auto"/>
              <w:ind w:firstLine="480" w:firstLineChars="200"/>
              <w:rPr>
                <w:rFonts w:hint="eastAsia"/>
                <w:kern w:val="0"/>
                <w:sz w:val="24"/>
                <w:highlight w:val="none"/>
                <w:shd w:val="clear" w:color="auto" w:fill="FFFFFF"/>
              </w:rPr>
            </w:pPr>
            <w:r>
              <w:rPr>
                <w:sz w:val="24"/>
                <w:highlight w:val="none"/>
              </w:rPr>
              <w:t>根据《高碑店市白沟京泽五金饰件厂突发环境事件风险评估报告》，</w:t>
            </w:r>
            <w:r>
              <w:rPr>
                <w:rFonts w:hAnsi="宋体" w:cs="宋体"/>
                <w:sz w:val="24"/>
                <w:highlight w:val="none"/>
              </w:rPr>
              <w:t>企业</w:t>
            </w:r>
            <w:r>
              <w:rPr>
                <w:rFonts w:hint="eastAsia" w:hAnsi="宋体" w:cs="宋体"/>
                <w:sz w:val="24"/>
                <w:highlight w:val="none"/>
              </w:rPr>
              <w:t>突发水</w:t>
            </w:r>
            <w:r>
              <w:rPr>
                <w:rFonts w:hAnsi="宋体" w:cs="宋体"/>
                <w:sz w:val="24"/>
                <w:highlight w:val="none"/>
              </w:rPr>
              <w:t>环境风险等级为</w:t>
            </w:r>
            <w:r>
              <w:rPr>
                <w:rFonts w:hint="eastAsia"/>
                <w:snapToGrid w:val="0"/>
                <w:kern w:val="0"/>
                <w:sz w:val="24"/>
                <w:highlight w:val="none"/>
              </w:rPr>
              <w:t>一般-水（Q</w:t>
            </w:r>
            <w:r>
              <w:rPr>
                <w:snapToGrid w:val="0"/>
                <w:kern w:val="0"/>
                <w:sz w:val="24"/>
                <w:highlight w:val="none"/>
              </w:rPr>
              <w:t>0</w:t>
            </w:r>
            <w:r>
              <w:rPr>
                <w:rFonts w:hint="eastAsia"/>
                <w:snapToGrid w:val="0"/>
                <w:kern w:val="0"/>
                <w:sz w:val="24"/>
                <w:highlight w:val="none"/>
              </w:rPr>
              <w:t>）</w:t>
            </w:r>
            <w:r>
              <w:rPr>
                <w:rFonts w:hint="eastAsia"/>
                <w:kern w:val="0"/>
                <w:sz w:val="24"/>
                <w:highlight w:val="none"/>
                <w:shd w:val="clear" w:color="auto" w:fill="FFFFFF"/>
              </w:rPr>
              <w:t>。</w:t>
            </w:r>
          </w:p>
          <w:p>
            <w:pPr>
              <w:pStyle w:val="4"/>
              <w:spacing w:before="0" w:after="0" w:line="360" w:lineRule="auto"/>
              <w:rPr>
                <w:rFonts w:ascii="Times New Roman" w:hAnsi="Times New Roman"/>
                <w:sz w:val="24"/>
                <w:szCs w:val="24"/>
                <w:highlight w:val="none"/>
              </w:rPr>
            </w:pPr>
            <w:bookmarkStart w:id="61" w:name="_Toc408734740"/>
            <w:bookmarkStart w:id="62" w:name="_Toc313023146"/>
            <w:bookmarkStart w:id="63" w:name="_Toc13696"/>
            <w:bookmarkStart w:id="64" w:name="_Toc50554715"/>
            <w:bookmarkStart w:id="65" w:name="_Toc13997"/>
            <w:bookmarkStart w:id="66" w:name="_Toc2127"/>
            <w:bookmarkStart w:id="67" w:name="_Toc19029"/>
            <w:r>
              <w:rPr>
                <w:rFonts w:ascii="Times New Roman" w:hAnsi="Times New Roman"/>
                <w:sz w:val="24"/>
                <w:szCs w:val="24"/>
                <w:highlight w:val="none"/>
              </w:rPr>
              <w:t>1.5</w:t>
            </w:r>
            <w:bookmarkEnd w:id="58"/>
            <w:bookmarkEnd w:id="59"/>
            <w:bookmarkEnd w:id="60"/>
            <w:bookmarkEnd w:id="61"/>
            <w:bookmarkEnd w:id="62"/>
            <w:r>
              <w:rPr>
                <w:rFonts w:hint="eastAsia" w:ascii="Times New Roman" w:hAnsi="Times New Roman"/>
                <w:sz w:val="24"/>
                <w:szCs w:val="24"/>
                <w:highlight w:val="none"/>
              </w:rPr>
              <w:t xml:space="preserve"> </w:t>
            </w:r>
            <w:r>
              <w:rPr>
                <w:rFonts w:ascii="Times New Roman" w:hAnsi="Times New Roman"/>
                <w:sz w:val="24"/>
                <w:szCs w:val="24"/>
                <w:highlight w:val="none"/>
              </w:rPr>
              <w:t>适用范围</w:t>
            </w:r>
            <w:bookmarkEnd w:id="63"/>
            <w:bookmarkEnd w:id="64"/>
            <w:bookmarkEnd w:id="65"/>
            <w:bookmarkEnd w:id="66"/>
            <w:bookmarkEnd w:id="67"/>
          </w:p>
          <w:p>
            <w:pPr>
              <w:spacing w:line="360" w:lineRule="auto"/>
              <w:ind w:firstLine="480" w:firstLineChars="200"/>
              <w:rPr>
                <w:rFonts w:hint="eastAsia"/>
                <w:sz w:val="24"/>
                <w:highlight w:val="none"/>
              </w:rPr>
            </w:pPr>
            <w:r>
              <w:rPr>
                <w:rFonts w:hint="eastAsia"/>
                <w:sz w:val="24"/>
                <w:highlight w:val="none"/>
              </w:rPr>
              <w:t>本预案适用于</w:t>
            </w:r>
            <w:r>
              <w:rPr>
                <w:sz w:val="24"/>
                <w:highlight w:val="none"/>
              </w:rPr>
              <w:t>高碑店市白沟京泽五金饰件厂</w:t>
            </w:r>
            <w:r>
              <w:rPr>
                <w:rFonts w:hint="eastAsia"/>
                <w:sz w:val="24"/>
                <w:highlight w:val="none"/>
              </w:rPr>
              <w:t>在生产过程中因各种因素引发的所有可能造成对企业周围环境造成危害和破坏以及可能导致社会重大财产损失的突发环境事件。</w:t>
            </w:r>
          </w:p>
          <w:p>
            <w:pPr>
              <w:pStyle w:val="4"/>
              <w:spacing w:before="0" w:after="0" w:line="360" w:lineRule="auto"/>
              <w:rPr>
                <w:rFonts w:hint="eastAsia" w:ascii="Times New Roman" w:hAnsi="Times New Roman"/>
                <w:sz w:val="24"/>
                <w:szCs w:val="24"/>
                <w:highlight w:val="none"/>
              </w:rPr>
            </w:pPr>
            <w:bookmarkStart w:id="68" w:name="_Toc50554716"/>
            <w:r>
              <w:rPr>
                <w:rFonts w:hint="eastAsia" w:ascii="Times New Roman" w:hAnsi="Times New Roman"/>
                <w:sz w:val="24"/>
                <w:szCs w:val="24"/>
                <w:highlight w:val="none"/>
              </w:rPr>
              <w:t>1.6 应急预案体系</w:t>
            </w:r>
            <w:bookmarkEnd w:id="68"/>
          </w:p>
          <w:p>
            <w:pPr>
              <w:spacing w:line="360" w:lineRule="auto"/>
              <w:ind w:firstLine="480" w:firstLineChars="200"/>
              <w:rPr>
                <w:sz w:val="24"/>
                <w:highlight w:val="none"/>
              </w:rPr>
            </w:pPr>
            <w:r>
              <w:rPr>
                <w:rFonts w:hint="eastAsia"/>
                <w:sz w:val="24"/>
                <w:highlight w:val="none"/>
              </w:rPr>
              <w:t>结合本单位实际情况，制定公司级环境应急预案。同时公司内车间、工段、岗位分别制定相应的现场处置卡，结合公司的安全生产应急预案、用水、用电应急预案形成公司预案体系。预案体系事件分级清晰合理，且与上级应急预案响应分级衔接，同时能够与各类专项环境应急预案、现场处置预案（现场处置卡）相衔接。</w:t>
            </w:r>
          </w:p>
          <w:p>
            <w:pPr>
              <w:spacing w:line="360" w:lineRule="auto"/>
              <w:rPr>
                <w:rFonts w:hint="eastAsia"/>
                <w:highlight w:val="none"/>
              </w:rPr>
            </w:pPr>
          </w:p>
          <w:p>
            <w:pPr>
              <w:pStyle w:val="16"/>
              <w:jc w:val="center"/>
              <w:rPr>
                <w:rFonts w:hint="eastAsia" w:ascii="Times New Roman" w:hAnsi="Times New Roman" w:eastAsia="宋体"/>
                <w:b/>
                <w:bCs/>
                <w:color w:val="auto"/>
                <w:highlight w:val="none"/>
              </w:rPr>
            </w:pPr>
            <w:r>
              <w:rPr>
                <w:rFonts w:ascii="Times New Roman" w:hAnsi="Times New Roman" w:eastAsia="宋体"/>
                <w:b/>
                <w:bCs/>
                <w:color w:val="auto"/>
                <w:highlight w:val="none"/>
              </w:rPr>
              <w:t>图1-1 企业应急预案体系</w:t>
            </w:r>
          </w:p>
          <w:p>
            <w:pPr>
              <w:pStyle w:val="2"/>
              <w:widowControl/>
              <w:tabs>
                <w:tab w:val="right" w:leader="dot" w:pos="8505"/>
              </w:tabs>
              <w:spacing w:before="120" w:beforeLines="50" w:after="120" w:afterLines="50" w:line="360" w:lineRule="auto"/>
              <w:ind w:left="0" w:leftChars="0"/>
              <w:jc w:val="center"/>
              <w:rPr>
                <w:b/>
                <w:sz w:val="24"/>
                <w:highlight w:val="none"/>
              </w:rPr>
            </w:pPr>
            <w:r>
              <w:rPr>
                <w:rFonts w:hint="eastAsia"/>
                <w:b/>
                <w:sz w:val="24"/>
                <w:highlight w:val="none"/>
              </w:rPr>
              <w:t>库房现场处置卡</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noWrap w:val="0"/>
                  <w:vAlign w:val="center"/>
                </w:tcPr>
                <w:p>
                  <w:pPr>
                    <w:jc w:val="center"/>
                    <w:rPr>
                      <w:rFonts w:hint="eastAsia" w:ascii="宋体" w:hAnsi="宋体"/>
                      <w:szCs w:val="21"/>
                      <w:highlight w:val="none"/>
                    </w:rPr>
                  </w:pPr>
                  <w:r>
                    <w:rPr>
                      <w:rFonts w:hint="eastAsia" w:ascii="宋体" w:hAnsi="宋体"/>
                      <w:szCs w:val="21"/>
                      <w:highlight w:val="none"/>
                    </w:rPr>
                    <w:t>风险提示</w:t>
                  </w:r>
                </w:p>
              </w:tc>
              <w:tc>
                <w:tcPr>
                  <w:tcW w:w="7335" w:type="dxa"/>
                  <w:noWrap w:val="0"/>
                  <w:vAlign w:val="top"/>
                </w:tcPr>
                <w:p>
                  <w:pPr>
                    <w:pStyle w:val="16"/>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泄露：</w:t>
                  </w:r>
                  <w:r>
                    <w:rPr>
                      <w:rFonts w:ascii="宋体" w:hAnsi="宋体" w:eastAsia="宋体"/>
                      <w:color w:val="auto"/>
                      <w:sz w:val="21"/>
                      <w:szCs w:val="21"/>
                      <w:highlight w:val="none"/>
                    </w:rPr>
                    <w:t>硫酸镍</w:t>
                  </w:r>
                  <w:r>
                    <w:rPr>
                      <w:rFonts w:hint="eastAsia" w:ascii="宋体" w:hAnsi="宋体" w:eastAsia="宋体"/>
                      <w:color w:val="auto"/>
                      <w:sz w:val="21"/>
                      <w:szCs w:val="21"/>
                      <w:highlight w:val="none"/>
                    </w:rPr>
                    <w:t>、</w:t>
                  </w:r>
                  <w:r>
                    <w:rPr>
                      <w:rFonts w:ascii="宋体" w:hAnsi="宋体" w:eastAsia="宋体"/>
                      <w:color w:val="auto"/>
                      <w:sz w:val="21"/>
                      <w:szCs w:val="21"/>
                      <w:highlight w:val="none"/>
                    </w:rPr>
                    <w:t>氯化镍</w:t>
                  </w:r>
                  <w:r>
                    <w:rPr>
                      <w:rFonts w:hint="eastAsia" w:ascii="宋体" w:hAnsi="宋体" w:eastAsia="宋体"/>
                      <w:color w:val="auto"/>
                      <w:sz w:val="21"/>
                      <w:szCs w:val="21"/>
                      <w:highlight w:val="none"/>
                    </w:rPr>
                    <w:t>等</w:t>
                  </w:r>
                  <w:r>
                    <w:rPr>
                      <w:rFonts w:ascii="宋体" w:hAnsi="宋体" w:eastAsia="宋体"/>
                      <w:color w:val="auto"/>
                      <w:sz w:val="21"/>
                      <w:szCs w:val="21"/>
                      <w:highlight w:val="none"/>
                    </w:rPr>
                    <w:t>发生泄漏</w:t>
                  </w:r>
                  <w:r>
                    <w:rPr>
                      <w:rFonts w:hint="eastAsia" w:ascii="宋体" w:hAnsi="宋体" w:eastAsia="宋体"/>
                      <w:color w:val="auto"/>
                      <w:sz w:val="21"/>
                      <w:szCs w:val="21"/>
                      <w:highlight w:val="none"/>
                    </w:rPr>
                    <w:t>，</w:t>
                  </w:r>
                  <w:r>
                    <w:rPr>
                      <w:rFonts w:ascii="宋体" w:hAnsi="宋体" w:eastAsia="宋体"/>
                      <w:color w:val="auto"/>
                      <w:sz w:val="21"/>
                      <w:szCs w:val="21"/>
                      <w:highlight w:val="none"/>
                    </w:rPr>
                    <w:t>污染</w:t>
                  </w:r>
                  <w:r>
                    <w:rPr>
                      <w:rFonts w:hint="eastAsia" w:ascii="宋体" w:hAnsi="宋体" w:eastAsia="宋体"/>
                      <w:color w:val="auto"/>
                      <w:sz w:val="21"/>
                      <w:szCs w:val="21"/>
                      <w:highlight w:val="none"/>
                    </w:rPr>
                    <w:t>土壤</w:t>
                  </w:r>
                  <w:r>
                    <w:rPr>
                      <w:rFonts w:ascii="宋体" w:hAnsi="宋体" w:eastAsia="宋体"/>
                      <w:color w:val="auto"/>
                      <w:sz w:val="21"/>
                      <w:szCs w:val="21"/>
                      <w:highlight w:val="none"/>
                    </w:rPr>
                    <w:t>及地下水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noWrap w:val="0"/>
                  <w:vAlign w:val="center"/>
                </w:tcPr>
                <w:p>
                  <w:pPr>
                    <w:jc w:val="center"/>
                    <w:rPr>
                      <w:rFonts w:hint="eastAsia" w:ascii="宋体" w:hAnsi="宋体"/>
                      <w:szCs w:val="21"/>
                      <w:highlight w:val="none"/>
                    </w:rPr>
                  </w:pPr>
                  <w:r>
                    <w:rPr>
                      <w:rFonts w:hint="eastAsia" w:ascii="宋体" w:hAnsi="宋体"/>
                      <w:szCs w:val="21"/>
                      <w:highlight w:val="none"/>
                    </w:rPr>
                    <w:t>应急处置</w:t>
                  </w:r>
                </w:p>
              </w:tc>
              <w:tc>
                <w:tcPr>
                  <w:tcW w:w="7335" w:type="dxa"/>
                  <w:noWrap w:val="0"/>
                  <w:vAlign w:val="top"/>
                </w:tcPr>
                <w:p>
                  <w:pPr>
                    <w:pStyle w:val="16"/>
                    <w:rPr>
                      <w:rFonts w:ascii="宋体" w:hAnsi="宋体" w:eastAsia="宋体"/>
                      <w:color w:val="auto"/>
                      <w:sz w:val="21"/>
                      <w:szCs w:val="21"/>
                      <w:highlight w:val="none"/>
                    </w:rPr>
                  </w:pPr>
                  <w:r>
                    <w:rPr>
                      <w:rFonts w:ascii="宋体" w:hAnsi="宋体" w:eastAsia="宋体"/>
                      <w:color w:val="auto"/>
                      <w:sz w:val="21"/>
                      <w:szCs w:val="21"/>
                      <w:highlight w:val="none"/>
                    </w:rPr>
                    <w:t>硫酸镍、氯化镍</w:t>
                  </w:r>
                  <w:r>
                    <w:rPr>
                      <w:rFonts w:hint="eastAsia" w:ascii="宋体" w:hAnsi="宋体" w:eastAsia="宋体"/>
                      <w:color w:val="auto"/>
                      <w:sz w:val="21"/>
                      <w:szCs w:val="21"/>
                      <w:highlight w:val="none"/>
                    </w:rPr>
                    <w:t>等少量泄露时，应隔离泄漏污染区，限制出入。建议应急处理人员戴防尘面具（全面罩），穿防毒服。用大量水冲洗，洗水稀释后放入废水系统。若大量泄漏，收集回收或运至废物处理场所处置</w:t>
                  </w:r>
                  <w:r>
                    <w:rPr>
                      <w:rFonts w:ascii="宋体" w:hAnsi="宋体" w:eastAsia="宋体"/>
                      <w:color w:val="auto"/>
                      <w:sz w:val="21"/>
                      <w:szCs w:val="21"/>
                      <w:highlight w:val="none"/>
                    </w:rPr>
                    <w:t>。</w:t>
                  </w:r>
                </w:p>
                <w:p>
                  <w:pPr>
                    <w:pStyle w:val="16"/>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1、发现事故隐患及时向总指挥（刘俊水：15130378888）报告</w:t>
                  </w:r>
                </w:p>
                <w:p>
                  <w:pPr>
                    <w:pStyle w:val="16"/>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2、如能自行处理，根据现场泄漏情况，制定堵漏方案，立即按照堵漏方式实施</w:t>
                  </w:r>
                </w:p>
                <w:p>
                  <w:pPr>
                    <w:pStyle w:val="16"/>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3、如不能自行处理，向总指挥报告后按总指挥要求启动应急预案，进行应急救援</w:t>
                  </w:r>
                </w:p>
                <w:p>
                  <w:pPr>
                    <w:pStyle w:val="16"/>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4、若引起火灾现场人员要紧急撤离，在安全的条件下采取灭火措施，将易燃易爆品转移到安全地带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noWrap w:val="0"/>
                  <w:vAlign w:val="center"/>
                </w:tcPr>
                <w:p>
                  <w:pPr>
                    <w:jc w:val="center"/>
                    <w:rPr>
                      <w:rFonts w:hint="eastAsia" w:ascii="宋体" w:hAnsi="宋体"/>
                      <w:szCs w:val="21"/>
                      <w:highlight w:val="none"/>
                    </w:rPr>
                  </w:pPr>
                  <w:r>
                    <w:rPr>
                      <w:rFonts w:hint="eastAsia" w:ascii="宋体" w:hAnsi="宋体"/>
                      <w:szCs w:val="21"/>
                      <w:highlight w:val="none"/>
                    </w:rPr>
                    <w:t>负责人</w:t>
                  </w:r>
                </w:p>
              </w:tc>
              <w:tc>
                <w:tcPr>
                  <w:tcW w:w="7335" w:type="dxa"/>
                  <w:noWrap w:val="0"/>
                  <w:vAlign w:val="center"/>
                </w:tcPr>
                <w:p>
                  <w:pPr>
                    <w:jc w:val="left"/>
                    <w:rPr>
                      <w:rFonts w:hint="eastAsia" w:ascii="宋体" w:hAnsi="宋体"/>
                      <w:color w:val="000000"/>
                      <w:szCs w:val="21"/>
                      <w:highlight w:val="none"/>
                    </w:rPr>
                  </w:pPr>
                  <w:r>
                    <w:rPr>
                      <w:rFonts w:hint="eastAsia" w:ascii="宋体" w:hAnsi="宋体"/>
                      <w:color w:val="000000"/>
                      <w:szCs w:val="21"/>
                      <w:highlight w:val="none"/>
                    </w:rPr>
                    <w:t>付庆辉</w:t>
                  </w:r>
                </w:p>
              </w:tc>
            </w:tr>
          </w:tbl>
          <w:p>
            <w:pPr>
              <w:pStyle w:val="2"/>
              <w:widowControl/>
              <w:tabs>
                <w:tab w:val="right" w:leader="dot" w:pos="8505"/>
              </w:tabs>
              <w:spacing w:before="120" w:beforeLines="50" w:after="120" w:afterLines="50" w:line="360" w:lineRule="auto"/>
              <w:ind w:left="0" w:leftChars="0"/>
              <w:jc w:val="center"/>
              <w:rPr>
                <w:b/>
                <w:sz w:val="24"/>
                <w:highlight w:val="none"/>
              </w:rPr>
            </w:pPr>
            <w:r>
              <w:rPr>
                <w:rFonts w:hint="eastAsia"/>
                <w:b/>
                <w:sz w:val="24"/>
                <w:highlight w:val="none"/>
              </w:rPr>
              <w:t>电镀车间现场处置</w:t>
            </w:r>
            <w:r>
              <w:rPr>
                <w:b/>
                <w:sz w:val="24"/>
                <w:highlight w:val="none"/>
              </w:rPr>
              <w:t>卡</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7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0" w:type="dxa"/>
                  <w:noWrap w:val="0"/>
                  <w:vAlign w:val="center"/>
                </w:tcPr>
                <w:p>
                  <w:pPr>
                    <w:jc w:val="center"/>
                    <w:rPr>
                      <w:rFonts w:hint="eastAsia"/>
                      <w:szCs w:val="21"/>
                      <w:highlight w:val="none"/>
                    </w:rPr>
                  </w:pPr>
                  <w:r>
                    <w:rPr>
                      <w:rFonts w:hint="eastAsia"/>
                      <w:szCs w:val="21"/>
                      <w:highlight w:val="none"/>
                    </w:rPr>
                    <w:t>风险提示</w:t>
                  </w:r>
                </w:p>
              </w:tc>
              <w:tc>
                <w:tcPr>
                  <w:tcW w:w="7333" w:type="dxa"/>
                  <w:noWrap w:val="0"/>
                  <w:vAlign w:val="top"/>
                </w:tcPr>
                <w:p>
                  <w:pPr>
                    <w:pStyle w:val="16"/>
                    <w:jc w:val="both"/>
                    <w:rPr>
                      <w:rFonts w:hint="eastAsia" w:ascii="Times New Roman" w:eastAsia="宋体"/>
                      <w:color w:val="auto"/>
                      <w:sz w:val="21"/>
                      <w:szCs w:val="21"/>
                      <w:highlight w:val="none"/>
                    </w:rPr>
                  </w:pPr>
                  <w:r>
                    <w:rPr>
                      <w:rFonts w:hint="eastAsia" w:ascii="Times New Roman" w:eastAsia="宋体"/>
                      <w:color w:val="auto"/>
                      <w:sz w:val="21"/>
                      <w:szCs w:val="21"/>
                      <w:highlight w:val="none"/>
                    </w:rPr>
                    <w:t>泄露</w:t>
                  </w:r>
                  <w:r>
                    <w:rPr>
                      <w:rFonts w:ascii="Times New Roman" w:eastAsia="宋体"/>
                      <w:color w:val="auto"/>
                      <w:sz w:val="21"/>
                      <w:szCs w:val="21"/>
                      <w:highlight w:val="none"/>
                    </w:rPr>
                    <w:t>：</w:t>
                  </w:r>
                  <w:r>
                    <w:rPr>
                      <w:rFonts w:hint="eastAsia" w:ascii="Times New Roman" w:eastAsia="宋体"/>
                      <w:color w:val="auto"/>
                      <w:sz w:val="21"/>
                      <w:szCs w:val="21"/>
                      <w:highlight w:val="none"/>
                    </w:rPr>
                    <w:t>电镀槽发生</w:t>
                  </w:r>
                  <w:r>
                    <w:rPr>
                      <w:rFonts w:ascii="Times New Roman" w:eastAsia="宋体"/>
                      <w:color w:val="auto"/>
                      <w:sz w:val="21"/>
                      <w:szCs w:val="21"/>
                      <w:highlight w:val="none"/>
                    </w:rPr>
                    <w:t>泄露</w:t>
                  </w:r>
                  <w:r>
                    <w:rPr>
                      <w:rFonts w:hint="eastAsia" w:ascii="Times New Roman" w:eastAsia="宋体"/>
                      <w:color w:val="auto"/>
                      <w:sz w:val="21"/>
                      <w:szCs w:val="21"/>
                      <w:highlight w:val="none"/>
                    </w:rPr>
                    <w:t>，</w:t>
                  </w:r>
                  <w:r>
                    <w:rPr>
                      <w:rFonts w:ascii="Times New Roman" w:eastAsia="宋体"/>
                      <w:color w:val="auto"/>
                      <w:sz w:val="21"/>
                      <w:szCs w:val="21"/>
                      <w:highlight w:val="none"/>
                    </w:rPr>
                    <w:t>污染</w:t>
                  </w:r>
                  <w:r>
                    <w:rPr>
                      <w:rFonts w:hint="eastAsia" w:ascii="Times New Roman" w:eastAsia="宋体"/>
                      <w:color w:val="auto"/>
                      <w:sz w:val="21"/>
                      <w:szCs w:val="21"/>
                      <w:highlight w:val="none"/>
                    </w:rPr>
                    <w:t>土壤及</w:t>
                  </w:r>
                  <w:r>
                    <w:rPr>
                      <w:rFonts w:ascii="Times New Roman" w:eastAsia="宋体"/>
                      <w:color w:val="auto"/>
                      <w:sz w:val="21"/>
                      <w:szCs w:val="21"/>
                      <w:highlight w:val="none"/>
                    </w:rPr>
                    <w:t>地下水</w:t>
                  </w:r>
                </w:p>
                <w:p>
                  <w:pPr>
                    <w:pStyle w:val="16"/>
                    <w:jc w:val="both"/>
                    <w:rPr>
                      <w:rFonts w:hint="eastAsia" w:ascii="Times New Roman" w:eastAsia="宋体"/>
                      <w:color w:val="auto"/>
                      <w:sz w:val="21"/>
                      <w:szCs w:val="21"/>
                      <w:highlight w:val="none"/>
                    </w:rPr>
                  </w:pPr>
                  <w:r>
                    <w:rPr>
                      <w:rFonts w:hint="eastAsia" w:ascii="Times New Roman" w:eastAsia="宋体"/>
                      <w:color w:val="auto"/>
                      <w:sz w:val="21"/>
                      <w:szCs w:val="21"/>
                      <w:highlight w:val="none"/>
                    </w:rPr>
                    <w:t>处理设施</w:t>
                  </w:r>
                  <w:r>
                    <w:rPr>
                      <w:rFonts w:ascii="Times New Roman" w:eastAsia="宋体"/>
                      <w:color w:val="auto"/>
                      <w:sz w:val="21"/>
                      <w:szCs w:val="21"/>
                      <w:highlight w:val="none"/>
                    </w:rPr>
                    <w:t>运行异常：</w:t>
                  </w:r>
                  <w:r>
                    <w:rPr>
                      <w:rFonts w:hint="eastAsia" w:ascii="Times New Roman" w:eastAsia="宋体"/>
                      <w:color w:val="auto"/>
                      <w:sz w:val="21"/>
                      <w:szCs w:val="21"/>
                      <w:highlight w:val="none"/>
                    </w:rPr>
                    <w:t>废水处理设施运行异常，</w:t>
                  </w:r>
                  <w:r>
                    <w:rPr>
                      <w:rFonts w:ascii="Times New Roman" w:eastAsia="宋体"/>
                      <w:color w:val="auto"/>
                      <w:sz w:val="21"/>
                      <w:szCs w:val="21"/>
                      <w:highlight w:val="none"/>
                    </w:rPr>
                    <w:t>废水直接排放，对白沟污水处理厂造成冲击</w:t>
                  </w:r>
                  <w:r>
                    <w:rPr>
                      <w:rFonts w:hint="eastAsia" w:ascii="Times New Roman" w:eastAsia="宋体"/>
                      <w:color w:val="auto"/>
                      <w:sz w:val="21"/>
                      <w:szCs w:val="21"/>
                      <w:highlight w:val="none"/>
                    </w:rPr>
                    <w:t>；</w:t>
                  </w:r>
                  <w:r>
                    <w:rPr>
                      <w:rFonts w:ascii="Times New Roman" w:eastAsia="宋体"/>
                      <w:color w:val="auto"/>
                      <w:sz w:val="21"/>
                      <w:szCs w:val="21"/>
                      <w:highlight w:val="none"/>
                    </w:rPr>
                    <w:t>废气未经处理直接排放，污染大气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0" w:type="dxa"/>
                  <w:noWrap w:val="0"/>
                  <w:vAlign w:val="center"/>
                </w:tcPr>
                <w:p>
                  <w:pPr>
                    <w:jc w:val="center"/>
                    <w:rPr>
                      <w:rFonts w:hint="eastAsia"/>
                      <w:szCs w:val="21"/>
                      <w:highlight w:val="none"/>
                    </w:rPr>
                  </w:pPr>
                  <w:r>
                    <w:rPr>
                      <w:rFonts w:hint="eastAsia"/>
                      <w:szCs w:val="21"/>
                      <w:highlight w:val="none"/>
                    </w:rPr>
                    <w:t>应急处置</w:t>
                  </w:r>
                </w:p>
              </w:tc>
              <w:tc>
                <w:tcPr>
                  <w:tcW w:w="7333" w:type="dxa"/>
                  <w:noWrap w:val="0"/>
                  <w:vAlign w:val="top"/>
                </w:tcPr>
                <w:p>
                  <w:pPr>
                    <w:pStyle w:val="16"/>
                    <w:jc w:val="both"/>
                    <w:rPr>
                      <w:rFonts w:ascii="Times New Roman" w:eastAsia="宋体"/>
                      <w:color w:val="auto"/>
                      <w:sz w:val="21"/>
                      <w:szCs w:val="21"/>
                      <w:highlight w:val="none"/>
                    </w:rPr>
                  </w:pPr>
                  <w:r>
                    <w:rPr>
                      <w:rFonts w:hint="eastAsia" w:ascii="Times New Roman" w:eastAsia="宋体"/>
                      <w:color w:val="auto"/>
                      <w:sz w:val="21"/>
                      <w:szCs w:val="21"/>
                      <w:highlight w:val="none"/>
                    </w:rPr>
                    <w:t>泄露</w:t>
                  </w:r>
                  <w:r>
                    <w:rPr>
                      <w:rFonts w:ascii="Times New Roman" w:eastAsia="宋体"/>
                      <w:color w:val="auto"/>
                      <w:sz w:val="21"/>
                      <w:szCs w:val="21"/>
                      <w:highlight w:val="none"/>
                    </w:rPr>
                    <w:t>：</w:t>
                  </w:r>
                  <w:r>
                    <w:rPr>
                      <w:rFonts w:hint="eastAsia" w:ascii="Times New Roman" w:eastAsia="宋体"/>
                      <w:color w:val="auto"/>
                      <w:sz w:val="21"/>
                      <w:szCs w:val="21"/>
                      <w:highlight w:val="none"/>
                    </w:rPr>
                    <w:t>硫酸、硼酸泄漏时可用砂土、干燥石灰或苏打灰混合覆盖；</w:t>
                  </w:r>
                  <w:r>
                    <w:rPr>
                      <w:rFonts w:ascii="Times New Roman" w:eastAsia="宋体"/>
                      <w:color w:val="auto"/>
                      <w:sz w:val="21"/>
                      <w:szCs w:val="21"/>
                      <w:highlight w:val="none"/>
                    </w:rPr>
                    <w:t>硫酸镍、氯化镍</w:t>
                  </w:r>
                  <w:r>
                    <w:rPr>
                      <w:rFonts w:hint="eastAsia" w:ascii="Times New Roman" w:eastAsia="宋体"/>
                      <w:color w:val="auto"/>
                      <w:sz w:val="21"/>
                      <w:szCs w:val="21"/>
                      <w:highlight w:val="none"/>
                    </w:rPr>
                    <w:t>等少量泄露时</w:t>
                  </w:r>
                  <w:r>
                    <w:rPr>
                      <w:rFonts w:ascii="Times New Roman" w:eastAsia="宋体"/>
                      <w:color w:val="auto"/>
                      <w:sz w:val="21"/>
                      <w:szCs w:val="21"/>
                      <w:highlight w:val="none"/>
                    </w:rPr>
                    <w:t>用大量水冲洗，废水收集至废</w:t>
                  </w:r>
                  <w:r>
                    <w:rPr>
                      <w:rFonts w:hint="eastAsia" w:ascii="Times New Roman" w:eastAsia="宋体"/>
                      <w:color w:val="auto"/>
                      <w:sz w:val="21"/>
                      <w:szCs w:val="21"/>
                      <w:highlight w:val="none"/>
                    </w:rPr>
                    <w:t>水</w:t>
                  </w:r>
                  <w:r>
                    <w:rPr>
                      <w:rFonts w:ascii="Times New Roman" w:eastAsia="宋体"/>
                      <w:color w:val="auto"/>
                      <w:sz w:val="21"/>
                      <w:szCs w:val="21"/>
                      <w:highlight w:val="none"/>
                    </w:rPr>
                    <w:t>处理设施</w:t>
                  </w:r>
                  <w:r>
                    <w:rPr>
                      <w:rFonts w:hint="eastAsia" w:ascii="Times New Roman" w:eastAsia="宋体"/>
                      <w:color w:val="auto"/>
                      <w:sz w:val="21"/>
                      <w:szCs w:val="21"/>
                      <w:highlight w:val="none"/>
                    </w:rPr>
                    <w:t>，</w:t>
                  </w:r>
                  <w:r>
                    <w:rPr>
                      <w:rFonts w:ascii="Times New Roman" w:eastAsia="宋体"/>
                      <w:color w:val="auto"/>
                      <w:sz w:val="21"/>
                      <w:szCs w:val="21"/>
                      <w:highlight w:val="none"/>
                    </w:rPr>
                    <w:t>大量</w:t>
                  </w:r>
                  <w:r>
                    <w:rPr>
                      <w:rFonts w:hint="eastAsia" w:ascii="Times New Roman" w:eastAsia="宋体"/>
                      <w:color w:val="auto"/>
                      <w:sz w:val="21"/>
                      <w:szCs w:val="21"/>
                      <w:highlight w:val="none"/>
                    </w:rPr>
                    <w:t>泄漏时</w:t>
                  </w:r>
                  <w:r>
                    <w:rPr>
                      <w:rFonts w:ascii="Times New Roman" w:eastAsia="宋体"/>
                      <w:color w:val="auto"/>
                      <w:sz w:val="21"/>
                      <w:szCs w:val="21"/>
                      <w:highlight w:val="none"/>
                    </w:rPr>
                    <w:t>收集至危废间</w:t>
                  </w:r>
                  <w:r>
                    <w:rPr>
                      <w:rFonts w:hint="eastAsia" w:ascii="Times New Roman" w:eastAsia="宋体"/>
                      <w:color w:val="auto"/>
                      <w:sz w:val="21"/>
                      <w:szCs w:val="21"/>
                      <w:highlight w:val="none"/>
                    </w:rPr>
                    <w:t>，</w:t>
                  </w:r>
                  <w:r>
                    <w:rPr>
                      <w:rFonts w:ascii="Times New Roman" w:eastAsia="宋体"/>
                      <w:color w:val="auto"/>
                      <w:sz w:val="21"/>
                      <w:szCs w:val="21"/>
                      <w:highlight w:val="none"/>
                    </w:rPr>
                    <w:t>然后再冲洗处置。</w:t>
                  </w:r>
                </w:p>
                <w:p>
                  <w:pPr>
                    <w:pStyle w:val="16"/>
                    <w:jc w:val="both"/>
                    <w:rPr>
                      <w:rFonts w:ascii="Times New Roman" w:eastAsia="宋体"/>
                      <w:color w:val="auto"/>
                      <w:sz w:val="21"/>
                      <w:szCs w:val="21"/>
                      <w:highlight w:val="none"/>
                    </w:rPr>
                  </w:pPr>
                  <w:r>
                    <w:rPr>
                      <w:rFonts w:hint="eastAsia" w:ascii="Times New Roman" w:eastAsia="宋体"/>
                      <w:color w:val="auto"/>
                      <w:sz w:val="21"/>
                      <w:szCs w:val="21"/>
                      <w:highlight w:val="none"/>
                    </w:rPr>
                    <w:t>处理设施</w:t>
                  </w:r>
                  <w:r>
                    <w:rPr>
                      <w:rFonts w:ascii="Times New Roman" w:eastAsia="宋体"/>
                      <w:color w:val="auto"/>
                      <w:sz w:val="21"/>
                      <w:szCs w:val="21"/>
                      <w:highlight w:val="none"/>
                    </w:rPr>
                    <w:t>运行异常：</w:t>
                  </w:r>
                  <w:r>
                    <w:rPr>
                      <w:rFonts w:hint="eastAsia" w:ascii="Times New Roman" w:eastAsia="宋体"/>
                      <w:color w:val="auto"/>
                      <w:sz w:val="21"/>
                      <w:szCs w:val="21"/>
                      <w:highlight w:val="none"/>
                    </w:rPr>
                    <w:t>首先停止各</w:t>
                  </w:r>
                  <w:r>
                    <w:rPr>
                      <w:rFonts w:ascii="Times New Roman" w:eastAsia="宋体"/>
                      <w:color w:val="auto"/>
                      <w:sz w:val="21"/>
                      <w:szCs w:val="21"/>
                      <w:highlight w:val="none"/>
                    </w:rPr>
                    <w:t>车间排放口，</w:t>
                  </w:r>
                  <w:r>
                    <w:rPr>
                      <w:rFonts w:hint="eastAsia" w:ascii="Times New Roman" w:eastAsia="宋体"/>
                      <w:color w:val="auto"/>
                      <w:sz w:val="21"/>
                      <w:szCs w:val="21"/>
                      <w:highlight w:val="none"/>
                    </w:rPr>
                    <w:t>然后停止厂区排放口</w:t>
                  </w:r>
                  <w:r>
                    <w:rPr>
                      <w:rFonts w:ascii="Times New Roman" w:eastAsia="宋体"/>
                      <w:color w:val="auto"/>
                      <w:sz w:val="21"/>
                      <w:szCs w:val="21"/>
                      <w:highlight w:val="none"/>
                    </w:rPr>
                    <w:t>排水</w:t>
                  </w:r>
                  <w:r>
                    <w:rPr>
                      <w:rFonts w:hint="eastAsia" w:ascii="Times New Roman" w:eastAsia="宋体"/>
                      <w:color w:val="auto"/>
                      <w:sz w:val="21"/>
                      <w:szCs w:val="21"/>
                      <w:highlight w:val="none"/>
                    </w:rPr>
                    <w:t>，</w:t>
                  </w:r>
                  <w:r>
                    <w:rPr>
                      <w:rFonts w:ascii="Times New Roman" w:eastAsia="宋体"/>
                      <w:color w:val="auto"/>
                      <w:sz w:val="21"/>
                      <w:szCs w:val="21"/>
                      <w:highlight w:val="none"/>
                    </w:rPr>
                    <w:t>设备抢修人员对设备进行维修，确保运行正常后方可正常生产</w:t>
                  </w:r>
                </w:p>
                <w:p>
                  <w:pPr>
                    <w:pStyle w:val="16"/>
                    <w:rPr>
                      <w:rFonts w:hint="eastAsia" w:ascii="Times New Roman" w:eastAsia="宋体"/>
                      <w:color w:val="auto"/>
                      <w:sz w:val="21"/>
                      <w:szCs w:val="21"/>
                      <w:highlight w:val="none"/>
                    </w:rPr>
                  </w:pPr>
                  <w:r>
                    <w:rPr>
                      <w:rFonts w:hint="eastAsia" w:ascii="Times New Roman" w:eastAsia="宋体"/>
                      <w:color w:val="auto"/>
                      <w:sz w:val="21"/>
                      <w:szCs w:val="21"/>
                      <w:highlight w:val="none"/>
                    </w:rPr>
                    <w:t>1、发现事故隐患及时向总指挥（刘俊水；15130378888）报告</w:t>
                  </w:r>
                </w:p>
                <w:p>
                  <w:pPr>
                    <w:pStyle w:val="16"/>
                    <w:rPr>
                      <w:rFonts w:hint="eastAsia" w:ascii="Times New Roman" w:eastAsia="宋体"/>
                      <w:color w:val="auto"/>
                      <w:sz w:val="21"/>
                      <w:szCs w:val="21"/>
                      <w:highlight w:val="none"/>
                    </w:rPr>
                  </w:pPr>
                  <w:r>
                    <w:rPr>
                      <w:rFonts w:hint="eastAsia" w:ascii="Times New Roman" w:eastAsia="宋体"/>
                      <w:color w:val="auto"/>
                      <w:sz w:val="21"/>
                      <w:szCs w:val="21"/>
                      <w:highlight w:val="none"/>
                    </w:rPr>
                    <w:t>2、如能自行处理，根据现场泄漏情况，制定堵漏方案，立即按照堵漏方式实施</w:t>
                  </w:r>
                </w:p>
                <w:p>
                  <w:pPr>
                    <w:pStyle w:val="16"/>
                    <w:rPr>
                      <w:rFonts w:hint="eastAsia" w:ascii="Times New Roman" w:eastAsia="宋体"/>
                      <w:color w:val="auto"/>
                      <w:sz w:val="21"/>
                      <w:szCs w:val="21"/>
                      <w:highlight w:val="none"/>
                    </w:rPr>
                  </w:pPr>
                  <w:r>
                    <w:rPr>
                      <w:rFonts w:hint="eastAsia" w:ascii="Times New Roman" w:eastAsia="宋体"/>
                      <w:color w:val="auto"/>
                      <w:sz w:val="21"/>
                      <w:szCs w:val="21"/>
                      <w:highlight w:val="none"/>
                    </w:rPr>
                    <w:t>3、如不能自行处理，向总指挥报告后按总指挥要求启动应急预案，进行应急救援</w:t>
                  </w:r>
                </w:p>
                <w:p>
                  <w:pPr>
                    <w:pStyle w:val="16"/>
                    <w:jc w:val="both"/>
                    <w:rPr>
                      <w:rFonts w:hint="eastAsia" w:ascii="Times New Roman" w:eastAsia="宋体"/>
                      <w:color w:val="auto"/>
                      <w:sz w:val="21"/>
                      <w:szCs w:val="21"/>
                      <w:highlight w:val="none"/>
                    </w:rPr>
                  </w:pPr>
                  <w:r>
                    <w:rPr>
                      <w:rFonts w:hint="eastAsia" w:ascii="Times New Roman" w:eastAsia="宋体"/>
                      <w:color w:val="auto"/>
                      <w:sz w:val="21"/>
                      <w:szCs w:val="21"/>
                      <w:highlight w:val="none"/>
                    </w:rPr>
                    <w:t>4、若引起火灾现场人员要紧急撤离，在安全的条件下采取灭火措施，将易燃易爆品转移到安全地带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0" w:type="dxa"/>
                  <w:noWrap w:val="0"/>
                  <w:vAlign w:val="center"/>
                </w:tcPr>
                <w:p>
                  <w:pPr>
                    <w:jc w:val="center"/>
                    <w:rPr>
                      <w:rFonts w:hint="eastAsia"/>
                      <w:szCs w:val="21"/>
                      <w:highlight w:val="none"/>
                    </w:rPr>
                  </w:pPr>
                  <w:r>
                    <w:rPr>
                      <w:rFonts w:hint="eastAsia"/>
                      <w:szCs w:val="21"/>
                      <w:highlight w:val="none"/>
                    </w:rPr>
                    <w:t>负责人</w:t>
                  </w:r>
                </w:p>
              </w:tc>
              <w:tc>
                <w:tcPr>
                  <w:tcW w:w="7333" w:type="dxa"/>
                  <w:noWrap w:val="0"/>
                  <w:vAlign w:val="center"/>
                </w:tcPr>
                <w:p>
                  <w:pPr>
                    <w:jc w:val="left"/>
                    <w:rPr>
                      <w:rFonts w:hint="eastAsia"/>
                      <w:color w:val="000000"/>
                      <w:szCs w:val="21"/>
                      <w:highlight w:val="none"/>
                    </w:rPr>
                  </w:pPr>
                  <w:r>
                    <w:rPr>
                      <w:rFonts w:hint="eastAsia"/>
                      <w:color w:val="000000"/>
                      <w:szCs w:val="21"/>
                      <w:highlight w:val="none"/>
                    </w:rPr>
                    <w:t>王建亮</w:t>
                  </w:r>
                </w:p>
              </w:tc>
            </w:tr>
          </w:tbl>
          <w:p>
            <w:pPr>
              <w:pStyle w:val="2"/>
              <w:widowControl/>
              <w:tabs>
                <w:tab w:val="right" w:leader="dot" w:pos="8505"/>
              </w:tabs>
              <w:spacing w:before="120" w:beforeLines="50" w:after="120" w:afterLines="50" w:line="360" w:lineRule="auto"/>
              <w:ind w:left="0" w:leftChars="0"/>
              <w:jc w:val="center"/>
              <w:rPr>
                <w:b/>
                <w:sz w:val="24"/>
                <w:highlight w:val="none"/>
              </w:rPr>
            </w:pPr>
            <w:r>
              <w:rPr>
                <w:rFonts w:hint="eastAsia"/>
                <w:b/>
                <w:sz w:val="24"/>
                <w:highlight w:val="none"/>
              </w:rPr>
              <w:t>危废间现场处置卡</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7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0" w:type="dxa"/>
                  <w:noWrap w:val="0"/>
                  <w:vAlign w:val="center"/>
                </w:tcPr>
                <w:p>
                  <w:pPr>
                    <w:jc w:val="center"/>
                    <w:rPr>
                      <w:rFonts w:hint="eastAsia"/>
                      <w:szCs w:val="21"/>
                      <w:highlight w:val="none"/>
                    </w:rPr>
                  </w:pPr>
                  <w:r>
                    <w:rPr>
                      <w:rFonts w:hint="eastAsia"/>
                      <w:szCs w:val="21"/>
                      <w:highlight w:val="none"/>
                    </w:rPr>
                    <w:t>风险提示</w:t>
                  </w:r>
                </w:p>
              </w:tc>
              <w:tc>
                <w:tcPr>
                  <w:tcW w:w="7333" w:type="dxa"/>
                  <w:noWrap w:val="0"/>
                  <w:vAlign w:val="top"/>
                </w:tcPr>
                <w:p>
                  <w:pPr>
                    <w:pStyle w:val="16"/>
                    <w:jc w:val="both"/>
                    <w:rPr>
                      <w:rFonts w:hint="eastAsia" w:ascii="Times New Roman" w:eastAsia="宋体"/>
                      <w:color w:val="auto"/>
                      <w:sz w:val="21"/>
                      <w:szCs w:val="21"/>
                      <w:highlight w:val="none"/>
                    </w:rPr>
                  </w:pPr>
                  <w:r>
                    <w:rPr>
                      <w:rFonts w:hint="eastAsia" w:ascii="Times New Roman" w:eastAsia="宋体"/>
                      <w:color w:val="auto"/>
                      <w:sz w:val="21"/>
                      <w:szCs w:val="21"/>
                      <w:highlight w:val="none"/>
                    </w:rPr>
                    <w:t>泄露：</w:t>
                  </w:r>
                  <w:r>
                    <w:rPr>
                      <w:rFonts w:hint="eastAsia" w:ascii="Times New Roman"/>
                      <w:color w:val="auto"/>
                      <w:sz w:val="21"/>
                      <w:szCs w:val="21"/>
                      <w:highlight w:val="none"/>
                      <w:lang w:val="en-US" w:eastAsia="zh-CN"/>
                    </w:rPr>
                    <w:t>电镀污泥</w:t>
                  </w:r>
                  <w:r>
                    <w:rPr>
                      <w:rFonts w:ascii="Times New Roman" w:eastAsia="宋体"/>
                      <w:color w:val="auto"/>
                      <w:sz w:val="21"/>
                      <w:szCs w:val="21"/>
                      <w:highlight w:val="none"/>
                    </w:rPr>
                    <w:t>发生泄漏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0" w:type="dxa"/>
                  <w:noWrap w:val="0"/>
                  <w:vAlign w:val="center"/>
                </w:tcPr>
                <w:p>
                  <w:pPr>
                    <w:jc w:val="center"/>
                    <w:rPr>
                      <w:rFonts w:hint="eastAsia"/>
                      <w:szCs w:val="21"/>
                      <w:highlight w:val="none"/>
                    </w:rPr>
                  </w:pPr>
                  <w:r>
                    <w:rPr>
                      <w:rFonts w:hint="eastAsia"/>
                      <w:szCs w:val="21"/>
                      <w:highlight w:val="none"/>
                    </w:rPr>
                    <w:t>应急处置</w:t>
                  </w:r>
                </w:p>
              </w:tc>
              <w:tc>
                <w:tcPr>
                  <w:tcW w:w="7333" w:type="dxa"/>
                  <w:noWrap w:val="0"/>
                  <w:vAlign w:val="top"/>
                </w:tcPr>
                <w:p>
                  <w:pPr>
                    <w:pStyle w:val="16"/>
                    <w:jc w:val="both"/>
                    <w:rPr>
                      <w:rFonts w:ascii="Times New Roman" w:eastAsia="宋体"/>
                      <w:color w:val="auto"/>
                      <w:sz w:val="21"/>
                      <w:szCs w:val="21"/>
                      <w:highlight w:val="none"/>
                    </w:rPr>
                  </w:pPr>
                  <w:r>
                    <w:rPr>
                      <w:rFonts w:hint="eastAsia" w:ascii="Times New Roman" w:eastAsia="宋体"/>
                      <w:color w:val="auto"/>
                      <w:sz w:val="21"/>
                      <w:szCs w:val="21"/>
                      <w:highlight w:val="none"/>
                    </w:rPr>
                    <w:t>泄漏时可用砂土、干燥石灰或苏打灰混合覆盖，</w:t>
                  </w:r>
                  <w:r>
                    <w:rPr>
                      <w:rFonts w:ascii="Times New Roman" w:eastAsia="宋体"/>
                      <w:color w:val="auto"/>
                      <w:sz w:val="21"/>
                      <w:szCs w:val="21"/>
                      <w:highlight w:val="none"/>
                    </w:rPr>
                    <w:t>回收或运至废物处置场所。</w:t>
                  </w:r>
                </w:p>
                <w:p>
                  <w:pPr>
                    <w:pStyle w:val="16"/>
                    <w:rPr>
                      <w:rFonts w:hint="eastAsia" w:ascii="Times New Roman" w:eastAsia="宋体"/>
                      <w:color w:val="auto"/>
                      <w:sz w:val="21"/>
                      <w:szCs w:val="21"/>
                      <w:highlight w:val="none"/>
                    </w:rPr>
                  </w:pPr>
                  <w:r>
                    <w:rPr>
                      <w:rFonts w:hint="eastAsia" w:ascii="Times New Roman" w:eastAsia="宋体"/>
                      <w:color w:val="auto"/>
                      <w:sz w:val="21"/>
                      <w:szCs w:val="21"/>
                      <w:highlight w:val="none"/>
                    </w:rPr>
                    <w:t>1、发现事故隐患及时向总指挥（刘俊水；15130378888）报告</w:t>
                  </w:r>
                </w:p>
                <w:p>
                  <w:pPr>
                    <w:pStyle w:val="16"/>
                    <w:rPr>
                      <w:rFonts w:hint="eastAsia" w:ascii="Times New Roman" w:eastAsia="宋体"/>
                      <w:color w:val="auto"/>
                      <w:sz w:val="21"/>
                      <w:szCs w:val="21"/>
                      <w:highlight w:val="none"/>
                    </w:rPr>
                  </w:pPr>
                  <w:r>
                    <w:rPr>
                      <w:rFonts w:hint="eastAsia" w:ascii="Times New Roman" w:eastAsia="宋体"/>
                      <w:color w:val="auto"/>
                      <w:sz w:val="21"/>
                      <w:szCs w:val="21"/>
                      <w:highlight w:val="none"/>
                    </w:rPr>
                    <w:t>2、如能自行处理，根据现场泄漏情况，制定堵漏方案，立即按照堵漏方式实施</w:t>
                  </w:r>
                </w:p>
                <w:p>
                  <w:pPr>
                    <w:pStyle w:val="16"/>
                    <w:rPr>
                      <w:rFonts w:hint="eastAsia" w:ascii="Times New Roman" w:eastAsia="宋体"/>
                      <w:color w:val="auto"/>
                      <w:sz w:val="21"/>
                      <w:szCs w:val="21"/>
                      <w:highlight w:val="none"/>
                    </w:rPr>
                  </w:pPr>
                  <w:r>
                    <w:rPr>
                      <w:rFonts w:hint="eastAsia" w:ascii="Times New Roman" w:eastAsia="宋体"/>
                      <w:color w:val="auto"/>
                      <w:sz w:val="21"/>
                      <w:szCs w:val="21"/>
                      <w:highlight w:val="none"/>
                    </w:rPr>
                    <w:t>3、如不能自行处理，向总指挥报告后按总指挥要求启动应急预案，进行应急救援</w:t>
                  </w:r>
                </w:p>
                <w:p>
                  <w:pPr>
                    <w:pStyle w:val="16"/>
                    <w:jc w:val="both"/>
                    <w:rPr>
                      <w:rFonts w:hint="eastAsia" w:ascii="Times New Roman" w:eastAsia="宋体"/>
                      <w:color w:val="auto"/>
                      <w:sz w:val="21"/>
                      <w:szCs w:val="21"/>
                      <w:highlight w:val="none"/>
                    </w:rPr>
                  </w:pPr>
                  <w:r>
                    <w:rPr>
                      <w:rFonts w:hint="eastAsia" w:ascii="Times New Roman" w:eastAsia="宋体"/>
                      <w:color w:val="auto"/>
                      <w:sz w:val="21"/>
                      <w:szCs w:val="21"/>
                      <w:highlight w:val="none"/>
                    </w:rPr>
                    <w:t>4、若引起火灾现场人员要紧急撤离，在安全的条件下采取灭火措施，将易燃易爆品转移到安全地带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0" w:type="dxa"/>
                  <w:noWrap w:val="0"/>
                  <w:vAlign w:val="center"/>
                </w:tcPr>
                <w:p>
                  <w:pPr>
                    <w:jc w:val="center"/>
                    <w:rPr>
                      <w:rFonts w:hint="eastAsia"/>
                      <w:szCs w:val="21"/>
                      <w:highlight w:val="none"/>
                    </w:rPr>
                  </w:pPr>
                  <w:r>
                    <w:rPr>
                      <w:rFonts w:hint="eastAsia"/>
                      <w:szCs w:val="21"/>
                      <w:highlight w:val="none"/>
                    </w:rPr>
                    <w:t>负责人</w:t>
                  </w:r>
                </w:p>
              </w:tc>
              <w:tc>
                <w:tcPr>
                  <w:tcW w:w="7333" w:type="dxa"/>
                  <w:noWrap w:val="0"/>
                  <w:vAlign w:val="center"/>
                </w:tcPr>
                <w:p>
                  <w:pPr>
                    <w:jc w:val="left"/>
                    <w:rPr>
                      <w:rFonts w:hint="eastAsia"/>
                      <w:color w:val="000000"/>
                      <w:szCs w:val="21"/>
                      <w:highlight w:val="none"/>
                    </w:rPr>
                  </w:pPr>
                  <w:r>
                    <w:rPr>
                      <w:rFonts w:hint="eastAsia"/>
                      <w:color w:val="000000"/>
                      <w:szCs w:val="21"/>
                      <w:highlight w:val="none"/>
                    </w:rPr>
                    <w:t>张海燕</w:t>
                  </w:r>
                </w:p>
              </w:tc>
            </w:tr>
          </w:tbl>
          <w:p>
            <w:pPr>
              <w:spacing w:line="560" w:lineRule="exact"/>
              <w:ind w:right="-105" w:rightChars="-50"/>
              <w:rPr>
                <w:highlight w:val="none"/>
              </w:rPr>
            </w:pPr>
          </w:p>
          <w:p>
            <w:pPr>
              <w:pStyle w:val="16"/>
              <w:rPr>
                <w:rFonts w:eastAsia="仿宋_GB2312"/>
                <w:sz w:val="24"/>
                <w:highlight w:val="none"/>
              </w:rPr>
            </w:pPr>
          </w:p>
        </w:tc>
      </w:tr>
    </w:tbl>
    <w:p>
      <w:pPr>
        <w:spacing w:line="560" w:lineRule="exact"/>
        <w:ind w:firstLine="204" w:firstLineChars="64"/>
        <w:rPr>
          <w:rFonts w:hint="eastAsia" w:eastAsia="黑体"/>
          <w:sz w:val="32"/>
          <w:szCs w:val="32"/>
        </w:rPr>
      </w:pPr>
    </w:p>
    <w:p>
      <w:pPr>
        <w:spacing w:line="560" w:lineRule="exact"/>
        <w:ind w:firstLine="204" w:firstLineChars="64"/>
        <w:rPr>
          <w:rFonts w:hint="eastAsia" w:eastAsia="黑体"/>
          <w:sz w:val="32"/>
          <w:szCs w:val="32"/>
        </w:rPr>
      </w:pPr>
    </w:p>
    <w:p>
      <w:pPr>
        <w:spacing w:line="560" w:lineRule="exact"/>
        <w:ind w:firstLine="204" w:firstLineChars="64"/>
        <w:rPr>
          <w:rFonts w:eastAsia="黑体"/>
          <w:sz w:val="32"/>
          <w:szCs w:val="32"/>
        </w:rPr>
      </w:pPr>
      <w:r>
        <w:rPr>
          <w:rFonts w:hint="eastAsia" w:eastAsia="黑体"/>
          <w:sz w:val="32"/>
          <w:szCs w:val="32"/>
        </w:rPr>
        <w:t>六、环境自行监测方案</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1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416" w:type="dxa"/>
            <w:noWrap w:val="0"/>
            <w:vAlign w:val="center"/>
          </w:tcPr>
          <w:p>
            <w:pPr>
              <w:spacing w:line="560" w:lineRule="exact"/>
              <w:jc w:val="center"/>
              <w:rPr>
                <w:rFonts w:eastAsia="仿宋_GB2312"/>
                <w:b/>
                <w:sz w:val="28"/>
                <w:szCs w:val="28"/>
              </w:rPr>
            </w:pPr>
            <w:r>
              <w:rPr>
                <w:rFonts w:hint="eastAsia" w:eastAsia="仿宋_GB2312"/>
                <w:sz w:val="24"/>
              </w:rPr>
              <w:t>主要内容</w:t>
            </w:r>
          </w:p>
        </w:tc>
        <w:tc>
          <w:tcPr>
            <w:tcW w:w="11820" w:type="dxa"/>
            <w:noWrap w:val="0"/>
            <w:vAlign w:val="center"/>
          </w:tcPr>
          <w:p>
            <w:pPr>
              <w:pStyle w:val="40"/>
              <w:ind w:firstLine="0" w:firstLineChars="0"/>
              <w:rPr>
                <w:rFonts w:hint="eastAsia" w:ascii="宋体" w:hAnsi="宋体" w:cs="宋体"/>
                <w:b/>
                <w:sz w:val="24"/>
              </w:rPr>
            </w:pPr>
            <w:r>
              <w:rPr>
                <w:rFonts w:hint="eastAsia" w:ascii="宋体" w:hAnsi="宋体" w:cs="宋体"/>
                <w:b/>
                <w:sz w:val="24"/>
              </w:rPr>
              <w:t>1.单位基本情况</w:t>
            </w:r>
          </w:p>
          <w:p>
            <w:pPr>
              <w:spacing w:line="360" w:lineRule="auto"/>
              <w:ind w:firstLine="480" w:firstLineChars="200"/>
              <w:rPr>
                <w:rFonts w:ascii="宋体" w:hAnsi="宋体" w:cs="宋体"/>
                <w:color w:val="FF0000"/>
                <w:sz w:val="24"/>
              </w:rPr>
            </w:pPr>
            <w:r>
              <w:rPr>
                <w:rFonts w:hint="eastAsia" w:ascii="宋体" w:hAnsi="宋体" w:cs="宋体"/>
                <w:sz w:val="24"/>
                <w:lang w:eastAsia="zh-CN"/>
              </w:rPr>
              <w:t>高碑店市白沟京泽压铸厂</w:t>
            </w:r>
            <w:r>
              <w:rPr>
                <w:rFonts w:hint="eastAsia" w:ascii="宋体" w:hAnsi="宋体" w:cs="宋体"/>
                <w:sz w:val="24"/>
              </w:rPr>
              <w:t>成立于200</w:t>
            </w:r>
            <w:r>
              <w:rPr>
                <w:rFonts w:hint="eastAsia" w:ascii="宋体" w:hAnsi="宋体" w:cs="宋体"/>
                <w:sz w:val="24"/>
                <w:lang w:val="en-US" w:eastAsia="zh-CN"/>
              </w:rPr>
              <w:t>1</w:t>
            </w:r>
            <w:r>
              <w:rPr>
                <w:rFonts w:hint="eastAsia" w:ascii="宋体" w:hAnsi="宋体" w:cs="宋体"/>
                <w:sz w:val="24"/>
              </w:rPr>
              <w:t>年，位于白沟新城</w:t>
            </w:r>
            <w:r>
              <w:rPr>
                <w:rFonts w:hint="eastAsia" w:ascii="宋体" w:hAnsi="宋体" w:cs="宋体"/>
                <w:sz w:val="24"/>
                <w:lang w:eastAsia="zh-CN"/>
              </w:rPr>
              <w:t>工业园区内枫杨路</w:t>
            </w:r>
            <w:r>
              <w:rPr>
                <w:rFonts w:hint="eastAsia" w:ascii="宋体" w:hAnsi="宋体" w:cs="宋体"/>
                <w:sz w:val="24"/>
                <w:lang w:val="en-US" w:eastAsia="zh-CN"/>
              </w:rPr>
              <w:t>9号</w:t>
            </w:r>
            <w:r>
              <w:rPr>
                <w:rFonts w:hint="eastAsia" w:ascii="宋体" w:hAnsi="宋体" w:cs="宋体"/>
                <w:sz w:val="24"/>
              </w:rPr>
              <w:t>，是一家以加工箱包五金配件为主的企业，公司目前年产</w:t>
            </w:r>
            <w:r>
              <w:rPr>
                <w:rFonts w:hint="eastAsia" w:ascii="宋体" w:hAnsi="宋体" w:cs="宋体"/>
                <w:sz w:val="24"/>
                <w:lang w:val="en-US" w:eastAsia="zh-CN"/>
              </w:rPr>
              <w:t>800</w:t>
            </w:r>
            <w:r>
              <w:rPr>
                <w:rFonts w:hint="eastAsia" w:ascii="宋体" w:hAnsi="宋体" w:cs="宋体"/>
                <w:sz w:val="24"/>
              </w:rPr>
              <w:t>吨五金装饰配件项目。厂区外排废水主要是电镀生产车间废水、生活污水、初期雨水。职工生活污水经隔油池和化粪池处理后，汇入生产废水排污口一并排入城镇污水管网，最终进入白沟新城污水处理厂。废水总排放口主要监测指标为流量、化学需氧量、PH值、氨氮、总铜、悬浮物、总氮、石油类、总磷、总镍、五日生化需氧量、动植物油。生产废水中含镍废水经离子交换后大部分经过滤器返回水洗槽作为清洗水，其余进入污水处理站综合废水池处理，主要污染物为总镍；有组织排放废气污染物为电镀工艺产生的硫酸雾。硫酸雾通过由集气罩＋酸雾吸收塔处理达标排放，处理后的废气经15米高排气筒排放，满足排放标准限制要求。厂界无组织废气污染物为硫酸雾。职工生活垃圾收集后统一由环卫部门清运，生产过程下脚料外售处理，全厂危险废物主要为电镀生产过程产生的污水处理站污泥，上述危险废物按照《危险废物贮存污染控制标准》要求临时储存在危险固体废物库房内，委托具有相应危险废物处置资质的</w:t>
            </w:r>
            <w:r>
              <w:rPr>
                <w:rFonts w:hint="eastAsia" w:ascii="宋体" w:hAnsi="宋体" w:cs="宋体"/>
                <w:sz w:val="24"/>
                <w:lang w:eastAsia="zh-CN"/>
              </w:rPr>
              <w:t>涞水冀东水泥有限公司</w:t>
            </w:r>
            <w:r>
              <w:rPr>
                <w:rFonts w:hint="eastAsia" w:ascii="宋体" w:hAnsi="宋体" w:cs="宋体"/>
                <w:sz w:val="24"/>
              </w:rPr>
              <w:t xml:space="preserve">进行处置。厂内噪声主要是抛光滚筒、烘干机、废气治理风机、水泵等设备运行产生的噪声，主要设备置于厂房内，采取基础减振，厂房隔声，再经距离衰减等降噪措施，满足排放标准限值要求。      </w:t>
            </w:r>
            <w:r>
              <w:rPr>
                <w:rFonts w:hint="eastAsia" w:ascii="宋体" w:hAnsi="宋体" w:cs="宋体"/>
                <w:color w:val="FF0000"/>
                <w:sz w:val="24"/>
              </w:rPr>
              <w:t xml:space="preserve">                                                                                                        </w:t>
            </w:r>
            <w:r>
              <w:rPr>
                <w:rFonts w:ascii="宋体" w:hAnsi="宋体" w:cs="宋体"/>
                <w:color w:val="FF0000"/>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企业自行监测包括自动监测和手工监测，自动监测和手工监测均委托有资质的第三方检测机构开展自行监测。</w:t>
            </w:r>
          </w:p>
          <w:p>
            <w:pPr>
              <w:spacing w:line="276" w:lineRule="auto"/>
              <w:rPr>
                <w:rFonts w:hint="eastAsia" w:ascii="宋体" w:hAnsi="宋体" w:cs="宋体"/>
                <w:b/>
                <w:sz w:val="24"/>
              </w:rPr>
            </w:pPr>
          </w:p>
          <w:p>
            <w:pPr>
              <w:spacing w:line="276" w:lineRule="auto"/>
              <w:rPr>
                <w:rFonts w:hint="eastAsia" w:ascii="宋体" w:hAnsi="宋体" w:cs="宋体"/>
                <w:sz w:val="21"/>
                <w:szCs w:val="21"/>
              </w:rPr>
            </w:pPr>
            <w:r>
              <w:rPr>
                <w:rFonts w:hint="eastAsia" w:ascii="宋体" w:hAnsi="宋体" w:cs="宋体"/>
                <w:b/>
                <w:sz w:val="24"/>
              </w:rPr>
              <w:t>2.监测依据</w:t>
            </w:r>
          </w:p>
          <w:p>
            <w:pPr>
              <w:tabs>
                <w:tab w:val="left" w:pos="446"/>
              </w:tabs>
              <w:spacing w:before="46" w:line="276" w:lineRule="auto"/>
              <w:ind w:right="132"/>
              <w:rPr>
                <w:rFonts w:hint="eastAsia" w:ascii="宋体" w:hAnsi="宋体" w:cs="宋体"/>
                <w:sz w:val="24"/>
              </w:rPr>
            </w:pPr>
            <w:r>
              <w:rPr>
                <w:rFonts w:hint="eastAsia" w:ascii="宋体" w:hAnsi="宋体" w:cs="宋体"/>
                <w:sz w:val="24"/>
              </w:rPr>
              <w:t>2.1《排污许可管理办法（试行）》(环境保护部令第48 号)</w:t>
            </w:r>
          </w:p>
          <w:p>
            <w:pPr>
              <w:tabs>
                <w:tab w:val="left" w:pos="446"/>
              </w:tabs>
              <w:spacing w:before="46" w:line="276" w:lineRule="auto"/>
              <w:ind w:right="132"/>
              <w:rPr>
                <w:rFonts w:hint="eastAsia" w:ascii="宋体" w:hAnsi="宋体" w:cs="宋体"/>
                <w:sz w:val="24"/>
              </w:rPr>
            </w:pPr>
            <w:r>
              <w:rPr>
                <w:rFonts w:hint="eastAsia" w:ascii="宋体" w:hAnsi="宋体" w:cs="宋体"/>
                <w:sz w:val="24"/>
              </w:rPr>
              <w:t>2.2 《排污许可证申请与核发技术规范 电镀工业》（HJ855-2017）</w:t>
            </w:r>
          </w:p>
          <w:p>
            <w:pPr>
              <w:tabs>
                <w:tab w:val="left" w:pos="441"/>
              </w:tabs>
              <w:spacing w:before="2" w:line="276" w:lineRule="auto"/>
              <w:rPr>
                <w:rFonts w:hint="eastAsia" w:ascii="宋体" w:hAnsi="宋体" w:cs="宋体"/>
                <w:sz w:val="24"/>
              </w:rPr>
            </w:pPr>
            <w:r>
              <w:rPr>
                <w:rFonts w:hint="eastAsia" w:ascii="宋体" w:hAnsi="宋体" w:cs="宋体"/>
                <w:sz w:val="24"/>
              </w:rPr>
              <w:t>2.3 《</w:t>
            </w:r>
            <w:r>
              <w:rPr>
                <w:rFonts w:hint="eastAsia" w:ascii="宋体" w:hAnsi="宋体" w:cs="宋体"/>
                <w:sz w:val="24"/>
                <w:lang w:eastAsia="zh-CN"/>
              </w:rPr>
              <w:t>高碑店市白沟京泽压铸厂五金饰件</w:t>
            </w:r>
            <w:r>
              <w:rPr>
                <w:rFonts w:hint="eastAsia" w:ascii="宋体" w:hAnsi="宋体" w:cs="宋体"/>
                <w:sz w:val="24"/>
              </w:rPr>
              <w:t>环境影响报告书》</w:t>
            </w:r>
          </w:p>
          <w:p>
            <w:pPr>
              <w:tabs>
                <w:tab w:val="left" w:pos="441"/>
              </w:tabs>
              <w:spacing w:before="2" w:line="276" w:lineRule="auto"/>
              <w:rPr>
                <w:rFonts w:hint="eastAsia" w:ascii="宋体" w:hAnsi="宋体" w:cs="宋体"/>
                <w:sz w:val="24"/>
              </w:rPr>
            </w:pPr>
            <w:r>
              <w:rPr>
                <w:rFonts w:hint="eastAsia" w:ascii="宋体" w:hAnsi="宋体" w:cs="宋体"/>
                <w:sz w:val="24"/>
              </w:rPr>
              <w:t>2.4 《</w:t>
            </w:r>
            <w:r>
              <w:rPr>
                <w:rFonts w:hint="eastAsia" w:ascii="宋体" w:hAnsi="宋体" w:cs="宋体"/>
                <w:sz w:val="24"/>
                <w:lang w:eastAsia="zh-CN"/>
              </w:rPr>
              <w:t>高碑店市白沟京泽压铸厂五金饰件</w:t>
            </w:r>
            <w:r>
              <w:rPr>
                <w:rFonts w:hint="eastAsia" w:ascii="宋体" w:hAnsi="宋体" w:cs="宋体"/>
                <w:sz w:val="24"/>
              </w:rPr>
              <w:t>环境影响补充报告》</w:t>
            </w:r>
          </w:p>
          <w:p>
            <w:pPr>
              <w:tabs>
                <w:tab w:val="left" w:pos="441"/>
              </w:tabs>
              <w:spacing w:before="2" w:line="276" w:lineRule="auto"/>
              <w:rPr>
                <w:rFonts w:hint="eastAsia" w:ascii="宋体" w:hAnsi="宋体" w:cs="宋体"/>
                <w:sz w:val="24"/>
              </w:rPr>
            </w:pPr>
            <w:r>
              <w:rPr>
                <w:rFonts w:hint="eastAsia" w:ascii="宋体" w:hAnsi="宋体" w:cs="宋体"/>
                <w:sz w:val="24"/>
              </w:rPr>
              <w:t>2.5《</w:t>
            </w:r>
            <w:r>
              <w:rPr>
                <w:rFonts w:hint="eastAsia" w:ascii="宋体" w:hAnsi="宋体" w:cs="宋体"/>
                <w:sz w:val="24"/>
                <w:lang w:eastAsia="zh-CN"/>
              </w:rPr>
              <w:t>高碑店市白沟京泽压铸厂五金饰件</w:t>
            </w:r>
            <w:r>
              <w:rPr>
                <w:rFonts w:hint="eastAsia" w:ascii="宋体" w:hAnsi="宋体" w:cs="宋体"/>
                <w:sz w:val="24"/>
              </w:rPr>
              <w:t>环境影响补充说明》</w:t>
            </w:r>
          </w:p>
          <w:p>
            <w:pPr>
              <w:tabs>
                <w:tab w:val="left" w:pos="441"/>
              </w:tabs>
              <w:spacing w:before="2" w:line="276" w:lineRule="auto"/>
              <w:rPr>
                <w:rFonts w:hint="eastAsia" w:ascii="宋体" w:hAnsi="宋体" w:cs="宋体"/>
                <w:sz w:val="24"/>
              </w:rPr>
            </w:pPr>
            <w:r>
              <w:rPr>
                <w:rFonts w:hint="eastAsia" w:ascii="宋体" w:hAnsi="宋体" w:cs="宋体"/>
                <w:sz w:val="24"/>
              </w:rPr>
              <w:t>2.6 《固定污染源排放烟气连续监测系统技术要求及检测方法》 （HJ/T76-2007）</w:t>
            </w:r>
          </w:p>
          <w:p>
            <w:pPr>
              <w:tabs>
                <w:tab w:val="left" w:pos="441"/>
              </w:tabs>
              <w:spacing w:before="72" w:line="276" w:lineRule="auto"/>
              <w:rPr>
                <w:rFonts w:hint="eastAsia" w:ascii="宋体" w:hAnsi="宋体" w:cs="宋体"/>
                <w:sz w:val="24"/>
              </w:rPr>
            </w:pPr>
            <w:r>
              <w:rPr>
                <w:rFonts w:hint="eastAsia" w:ascii="宋体" w:hAnsi="宋体" w:cs="宋体"/>
                <w:sz w:val="24"/>
              </w:rPr>
              <w:t>2.7 《固定源废气监测技术规范》（HJ/T 397-2007）</w:t>
            </w:r>
          </w:p>
          <w:p>
            <w:pPr>
              <w:tabs>
                <w:tab w:val="left" w:pos="441"/>
              </w:tabs>
              <w:spacing w:before="72" w:line="276" w:lineRule="auto"/>
              <w:rPr>
                <w:rFonts w:hint="eastAsia" w:ascii="宋体" w:hAnsi="宋体" w:cs="宋体"/>
                <w:sz w:val="24"/>
              </w:rPr>
            </w:pPr>
            <w:r>
              <w:rPr>
                <w:rFonts w:hint="eastAsia" w:ascii="宋体" w:hAnsi="宋体" w:cs="宋体"/>
                <w:sz w:val="24"/>
              </w:rPr>
              <w:t>2.8《地表水和污水监测技术规范》（HJ/T 91-2002）</w:t>
            </w:r>
          </w:p>
          <w:p>
            <w:pPr>
              <w:tabs>
                <w:tab w:val="left" w:pos="441"/>
              </w:tabs>
              <w:spacing w:before="72" w:line="276" w:lineRule="auto"/>
              <w:jc w:val="both"/>
              <w:rPr>
                <w:rFonts w:hint="eastAsia" w:ascii="宋体" w:hAnsi="宋体" w:cs="宋体"/>
                <w:sz w:val="24"/>
              </w:rPr>
            </w:pPr>
            <w:r>
              <w:rPr>
                <w:rFonts w:hint="eastAsia" w:ascii="宋体" w:hAnsi="宋体" w:cs="宋体"/>
                <w:sz w:val="24"/>
              </w:rPr>
              <w:t>2.9《排污单位自行监测技术指南 总则》（HJ 819-2017）</w:t>
            </w:r>
          </w:p>
          <w:p>
            <w:pPr>
              <w:spacing w:line="276" w:lineRule="auto"/>
              <w:jc w:val="both"/>
              <w:rPr>
                <w:rFonts w:hint="eastAsia" w:ascii="宋体" w:hAnsi="宋体" w:cs="宋体"/>
                <w:color w:val="FF0000"/>
                <w:sz w:val="24"/>
              </w:rPr>
            </w:pPr>
            <w:r>
              <w:rPr>
                <w:rFonts w:hint="eastAsia" w:ascii="宋体" w:hAnsi="宋体" w:cs="宋体"/>
                <w:sz w:val="24"/>
              </w:rPr>
              <w:t>2.10《排污单位自行监测技术指南火力发电及锅炉》（HJ 820-2017）</w:t>
            </w:r>
          </w:p>
          <w:p>
            <w:pPr>
              <w:spacing w:line="276" w:lineRule="auto"/>
              <w:jc w:val="both"/>
              <w:rPr>
                <w:rFonts w:hint="eastAsia" w:ascii="宋体" w:hAnsi="宋体" w:cs="宋体"/>
                <w:sz w:val="24"/>
              </w:rPr>
            </w:pPr>
            <w:r>
              <w:rPr>
                <w:rFonts w:hint="eastAsia" w:ascii="宋体" w:hAnsi="宋体" w:cs="宋体"/>
                <w:sz w:val="24"/>
              </w:rPr>
              <w:t>2.11《工业企业厂界环境噪声排放标准》（GB12348-2008）</w:t>
            </w:r>
          </w:p>
          <w:p>
            <w:pPr>
              <w:spacing w:line="276" w:lineRule="auto"/>
              <w:jc w:val="both"/>
              <w:rPr>
                <w:rFonts w:hint="eastAsia" w:ascii="宋体" w:hAnsi="宋体" w:cs="宋体"/>
                <w:sz w:val="24"/>
              </w:rPr>
            </w:pPr>
            <w:r>
              <w:rPr>
                <w:rFonts w:hint="eastAsia" w:ascii="宋体" w:hAnsi="宋体" w:cs="宋体"/>
                <w:sz w:val="24"/>
              </w:rPr>
              <w:t>2.12《大气污染物综合排放标准》（GB16297-1996）</w:t>
            </w:r>
          </w:p>
          <w:p>
            <w:pPr>
              <w:spacing w:line="276" w:lineRule="auto"/>
              <w:jc w:val="both"/>
              <w:rPr>
                <w:rFonts w:hint="eastAsia" w:ascii="宋体" w:hAnsi="宋体" w:cs="宋体"/>
                <w:sz w:val="24"/>
              </w:rPr>
            </w:pPr>
            <w:r>
              <w:rPr>
                <w:rFonts w:hint="eastAsia" w:ascii="宋体" w:hAnsi="宋体" w:cs="宋体"/>
                <w:sz w:val="24"/>
              </w:rPr>
              <w:t>2.13《电镀污染物排放标准》（</w:t>
            </w:r>
            <w:r>
              <w:rPr>
                <w:rFonts w:ascii="宋体" w:hAnsi="宋体" w:cs="宋体"/>
                <w:sz w:val="24"/>
              </w:rPr>
              <w:t>GB21900-2008</w:t>
            </w:r>
            <w:r>
              <w:rPr>
                <w:rFonts w:hint="eastAsia" w:ascii="宋体" w:hAnsi="宋体" w:cs="宋体"/>
                <w:sz w:val="24"/>
              </w:rPr>
              <w:t>）</w:t>
            </w:r>
          </w:p>
          <w:p>
            <w:pPr>
              <w:spacing w:line="276" w:lineRule="auto"/>
              <w:rPr>
                <w:rFonts w:hint="eastAsia" w:ascii="宋体" w:hAnsi="宋体" w:cs="宋体"/>
                <w:sz w:val="24"/>
              </w:rPr>
            </w:pPr>
            <w:r>
              <w:rPr>
                <w:rFonts w:hint="eastAsia" w:ascii="宋体" w:hAnsi="宋体" w:cs="宋体"/>
                <w:sz w:val="24"/>
              </w:rPr>
              <w:t>2.14《水质样品的保存和管理技术规定》HJ 493-2009</w:t>
            </w:r>
          </w:p>
          <w:p>
            <w:pPr>
              <w:spacing w:line="276" w:lineRule="auto"/>
              <w:rPr>
                <w:rFonts w:hint="eastAsia" w:ascii="宋体" w:hAnsi="宋体" w:cs="宋体"/>
                <w:sz w:val="24"/>
              </w:rPr>
            </w:pPr>
            <w:r>
              <w:rPr>
                <w:rFonts w:hint="eastAsia" w:ascii="宋体" w:hAnsi="宋体" w:cs="宋体"/>
                <w:sz w:val="24"/>
              </w:rPr>
              <w:t>2.15《水质采样技术指导》HJ 494-2009</w:t>
            </w:r>
          </w:p>
          <w:p>
            <w:pPr>
              <w:spacing w:line="276" w:lineRule="auto"/>
              <w:rPr>
                <w:rFonts w:hint="eastAsia" w:ascii="宋体" w:hAnsi="宋体" w:cs="宋体"/>
                <w:sz w:val="24"/>
              </w:rPr>
            </w:pPr>
            <w:r>
              <w:rPr>
                <w:rFonts w:hint="eastAsia" w:ascii="宋体" w:hAnsi="宋体" w:cs="宋体"/>
                <w:sz w:val="24"/>
              </w:rPr>
              <w:t>2.16《水质采样方案设计技术规定》HJ 495-2009</w:t>
            </w:r>
          </w:p>
          <w:p>
            <w:pPr>
              <w:spacing w:line="276" w:lineRule="auto"/>
              <w:rPr>
                <w:rFonts w:hint="eastAsia" w:ascii="宋体" w:hAnsi="宋体" w:cs="宋体"/>
                <w:sz w:val="24"/>
              </w:rPr>
            </w:pPr>
            <w:r>
              <w:rPr>
                <w:rFonts w:hint="eastAsia" w:ascii="宋体" w:hAnsi="宋体" w:cs="宋体"/>
                <w:sz w:val="24"/>
              </w:rPr>
              <w:t>2.17《企业事业单位环境信息公开办法》（环境保护部令第31 号）</w:t>
            </w:r>
          </w:p>
          <w:p>
            <w:pPr>
              <w:spacing w:line="276" w:lineRule="auto"/>
              <w:rPr>
                <w:rFonts w:hint="eastAsia" w:ascii="宋体" w:hAnsi="宋体" w:cs="宋体"/>
                <w:sz w:val="24"/>
              </w:rPr>
            </w:pPr>
            <w:r>
              <w:rPr>
                <w:rFonts w:hint="eastAsia" w:ascii="宋体" w:hAnsi="宋体" w:cs="宋体"/>
                <w:sz w:val="24"/>
              </w:rPr>
              <w:t>2.18《国家重点监控企业自行监测及信息公开办法（试行）》（环发〔2013〕81 号</w:t>
            </w:r>
          </w:p>
          <w:p>
            <w:pPr>
              <w:pStyle w:val="40"/>
              <w:tabs>
                <w:tab w:val="left" w:pos="7470"/>
              </w:tabs>
              <w:ind w:firstLine="0" w:firstLineChars="0"/>
              <w:rPr>
                <w:rFonts w:hint="eastAsia" w:ascii="宋体" w:hAnsi="宋体" w:cs="宋体"/>
                <w:b/>
                <w:sz w:val="24"/>
              </w:rPr>
            </w:pPr>
            <w:r>
              <w:rPr>
                <w:rFonts w:ascii="宋体" w:hAnsi="宋体" w:cs="宋体"/>
                <w:b/>
                <w:sz w:val="24"/>
              </w:rPr>
              <w:tab/>
            </w:r>
          </w:p>
          <w:p>
            <w:pPr>
              <w:pStyle w:val="40"/>
              <w:ind w:firstLine="0" w:firstLineChars="0"/>
              <w:rPr>
                <w:rFonts w:hint="eastAsia" w:ascii="宋体" w:hAnsi="宋体" w:cs="宋体"/>
                <w:b/>
                <w:sz w:val="24"/>
              </w:rPr>
            </w:pPr>
            <w:r>
              <w:rPr>
                <w:rFonts w:hint="eastAsia" w:ascii="宋体" w:hAnsi="宋体" w:cs="宋体"/>
                <w:b/>
                <w:sz w:val="24"/>
              </w:rPr>
              <w:t>3.监测项目、点位、频次及方法</w:t>
            </w:r>
          </w:p>
          <w:p>
            <w:pPr>
              <w:pStyle w:val="40"/>
              <w:ind w:firstLine="0" w:firstLineChars="0"/>
              <w:rPr>
                <w:rFonts w:hint="eastAsia" w:ascii="宋体" w:hAnsi="宋体" w:cs="宋体"/>
                <w:b/>
                <w:sz w:val="18"/>
                <w:szCs w:val="18"/>
              </w:rPr>
            </w:pPr>
            <w:r>
              <w:rPr>
                <w:rFonts w:hint="eastAsia" w:ascii="宋体" w:hAnsi="宋体" w:cs="宋体"/>
                <w:b/>
                <w:sz w:val="18"/>
                <w:szCs w:val="18"/>
              </w:rPr>
              <w:t>3.1</w:t>
            </w:r>
            <w:r>
              <w:rPr>
                <w:rFonts w:hint="eastAsia" w:ascii="宋体" w:hAnsi="宋体" w:cs="宋体"/>
                <w:sz w:val="18"/>
                <w:szCs w:val="18"/>
              </w:rPr>
              <w:t>废水监测项目、点位、频次及方法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025"/>
              <w:gridCol w:w="1136"/>
              <w:gridCol w:w="1132"/>
              <w:gridCol w:w="1045"/>
              <w:gridCol w:w="1305"/>
              <w:gridCol w:w="1260"/>
              <w:gridCol w:w="3150"/>
              <w:gridCol w:w="1185"/>
              <w:gridCol w:w="2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exact"/>
              </w:trPr>
              <w:tc>
                <w:tcPr>
                  <w:tcW w:w="784" w:type="dxa"/>
                  <w:shd w:val="clear" w:color="000000" w:fill="FFFFFF"/>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项目</w:t>
                  </w:r>
                </w:p>
              </w:tc>
              <w:tc>
                <w:tcPr>
                  <w:tcW w:w="1025" w:type="dxa"/>
                  <w:shd w:val="clear" w:color="000000" w:fill="FFFFFF"/>
                  <w:noWrap w:val="0"/>
                  <w:vAlign w:val="center"/>
                </w:tcPr>
                <w:p>
                  <w:pPr>
                    <w:adjustRightInd/>
                    <w:snapToGrid/>
                    <w:spacing w:after="0"/>
                    <w:rPr>
                      <w:rFonts w:hint="eastAsia" w:ascii="宋体" w:hAnsi="宋体" w:cs="宋体"/>
                      <w:vanish/>
                      <w:sz w:val="18"/>
                      <w:szCs w:val="18"/>
                    </w:rPr>
                  </w:pPr>
                  <w:r>
                    <w:rPr>
                      <w:rFonts w:hint="eastAsia" w:ascii="宋体" w:hAnsi="宋体" w:cs="宋体"/>
                      <w:sz w:val="18"/>
                      <w:szCs w:val="18"/>
                    </w:rPr>
                    <w:t>监测点位及排放口编号经纬度</w:t>
                  </w:r>
                </w:p>
              </w:tc>
              <w:tc>
                <w:tcPr>
                  <w:tcW w:w="1136" w:type="dxa"/>
                  <w:shd w:val="clear" w:color="000000" w:fill="FFFFFF"/>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监测指标</w:t>
                  </w:r>
                </w:p>
              </w:tc>
              <w:tc>
                <w:tcPr>
                  <w:tcW w:w="1132" w:type="dxa"/>
                  <w:shd w:val="clear" w:color="000000" w:fill="FFFFFF"/>
                  <w:noWrap w:val="0"/>
                  <w:vAlign w:val="center"/>
                </w:tcPr>
                <w:p>
                  <w:pPr>
                    <w:pStyle w:val="16"/>
                    <w:rPr>
                      <w:rFonts w:hint="eastAsia" w:ascii="宋体" w:hAnsi="宋体" w:eastAsia="宋体" w:cs="宋体"/>
                      <w:color w:val="auto"/>
                      <w:sz w:val="18"/>
                      <w:szCs w:val="18"/>
                    </w:rPr>
                  </w:pPr>
                </w:p>
                <w:p>
                  <w:pPr>
                    <w:adjustRightInd/>
                    <w:snapToGrid/>
                    <w:spacing w:after="0"/>
                    <w:jc w:val="center"/>
                    <w:rPr>
                      <w:rFonts w:hint="eastAsia" w:ascii="宋体" w:hAnsi="宋体" w:cs="宋体"/>
                      <w:sz w:val="18"/>
                      <w:szCs w:val="18"/>
                    </w:rPr>
                  </w:pPr>
                  <w:r>
                    <w:rPr>
                      <w:rFonts w:hint="eastAsia" w:ascii="宋体" w:hAnsi="宋体" w:cs="宋体"/>
                      <w:sz w:val="18"/>
                      <w:szCs w:val="18"/>
                    </w:rPr>
                    <w:t>执行标准</w:t>
                  </w:r>
                </w:p>
              </w:tc>
              <w:tc>
                <w:tcPr>
                  <w:tcW w:w="1045" w:type="dxa"/>
                  <w:shd w:val="clear" w:color="000000" w:fill="FFFFFF"/>
                  <w:noWrap w:val="0"/>
                  <w:vAlign w:val="center"/>
                </w:tcPr>
                <w:p>
                  <w:pPr>
                    <w:adjustRightInd/>
                    <w:snapToGrid/>
                    <w:spacing w:after="0"/>
                    <w:rPr>
                      <w:rFonts w:hint="eastAsia" w:ascii="宋体" w:hAnsi="宋体" w:cs="宋体"/>
                      <w:sz w:val="18"/>
                      <w:szCs w:val="18"/>
                    </w:rPr>
                  </w:pPr>
                </w:p>
                <w:p>
                  <w:pPr>
                    <w:adjustRightInd/>
                    <w:snapToGrid/>
                    <w:spacing w:after="0"/>
                    <w:rPr>
                      <w:rFonts w:hint="eastAsia" w:ascii="宋体" w:hAnsi="宋体" w:cs="宋体"/>
                      <w:sz w:val="18"/>
                      <w:szCs w:val="18"/>
                    </w:rPr>
                  </w:pPr>
                  <w:r>
                    <w:rPr>
                      <w:rFonts w:hint="eastAsia" w:ascii="宋体" w:hAnsi="宋体" w:cs="宋体"/>
                      <w:sz w:val="18"/>
                      <w:szCs w:val="18"/>
                    </w:rPr>
                    <w:t>许可排放限值mg/L</w:t>
                  </w:r>
                </w:p>
                <w:p>
                  <w:pPr>
                    <w:jc w:val="center"/>
                    <w:rPr>
                      <w:rFonts w:hint="eastAsia" w:ascii="宋体" w:hAnsi="宋体" w:cs="宋体"/>
                      <w:vanish/>
                      <w:sz w:val="18"/>
                      <w:szCs w:val="18"/>
                    </w:rPr>
                  </w:pPr>
                </w:p>
              </w:tc>
              <w:tc>
                <w:tcPr>
                  <w:tcW w:w="1305" w:type="dxa"/>
                  <w:noWrap w:val="0"/>
                  <w:vAlign w:val="center"/>
                </w:tcPr>
                <w:p>
                  <w:pPr>
                    <w:adjustRightInd/>
                    <w:snapToGrid/>
                    <w:spacing w:after="0"/>
                    <w:rPr>
                      <w:rFonts w:hint="eastAsia" w:ascii="宋体" w:hAnsi="宋体" w:cs="宋体"/>
                      <w:sz w:val="18"/>
                      <w:szCs w:val="18"/>
                    </w:rPr>
                  </w:pPr>
                </w:p>
                <w:p>
                  <w:pPr>
                    <w:adjustRightInd/>
                    <w:snapToGrid/>
                    <w:spacing w:after="0"/>
                    <w:jc w:val="center"/>
                    <w:rPr>
                      <w:rFonts w:hint="eastAsia" w:ascii="宋体" w:hAnsi="宋体" w:cs="宋体"/>
                      <w:sz w:val="18"/>
                      <w:szCs w:val="18"/>
                    </w:rPr>
                  </w:pPr>
                  <w:r>
                    <w:rPr>
                      <w:rFonts w:hint="eastAsia" w:ascii="宋体" w:hAnsi="宋体" w:cs="宋体"/>
                      <w:sz w:val="18"/>
                      <w:szCs w:val="18"/>
                    </w:rPr>
                    <w:t>监测方式</w:t>
                  </w:r>
                </w:p>
                <w:p>
                  <w:pPr>
                    <w:adjustRightInd/>
                    <w:snapToGrid/>
                    <w:spacing w:after="0"/>
                    <w:jc w:val="center"/>
                    <w:rPr>
                      <w:rFonts w:hint="eastAsia" w:ascii="宋体" w:hAnsi="宋体" w:cs="宋体"/>
                      <w:sz w:val="18"/>
                      <w:szCs w:val="18"/>
                    </w:rPr>
                  </w:pPr>
                </w:p>
              </w:tc>
              <w:tc>
                <w:tcPr>
                  <w:tcW w:w="1260"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监测频次</w:t>
                  </w:r>
                </w:p>
              </w:tc>
              <w:tc>
                <w:tcPr>
                  <w:tcW w:w="3150" w:type="dxa"/>
                  <w:noWrap w:val="0"/>
                  <w:vAlign w:val="center"/>
                </w:tcPr>
                <w:p>
                  <w:pPr>
                    <w:adjustRightInd/>
                    <w:snapToGrid/>
                    <w:spacing w:after="0"/>
                    <w:jc w:val="center"/>
                    <w:rPr>
                      <w:rFonts w:hint="eastAsia" w:ascii="宋体" w:hAnsi="宋体" w:cs="宋体"/>
                      <w:sz w:val="18"/>
                      <w:szCs w:val="18"/>
                    </w:rPr>
                  </w:pPr>
                </w:p>
                <w:p>
                  <w:pPr>
                    <w:adjustRightInd/>
                    <w:snapToGrid/>
                    <w:spacing w:after="0"/>
                    <w:jc w:val="center"/>
                    <w:rPr>
                      <w:rFonts w:hint="eastAsia" w:ascii="宋体" w:hAnsi="宋体" w:cs="宋体"/>
                      <w:sz w:val="18"/>
                      <w:szCs w:val="18"/>
                    </w:rPr>
                  </w:pPr>
                  <w:r>
                    <w:rPr>
                      <w:rFonts w:hint="eastAsia" w:ascii="宋体" w:hAnsi="宋体" w:cs="宋体"/>
                      <w:sz w:val="18"/>
                      <w:szCs w:val="18"/>
                    </w:rPr>
                    <w:t>监测方法</w:t>
                  </w:r>
                </w:p>
                <w:p>
                  <w:pPr>
                    <w:adjustRightInd/>
                    <w:snapToGrid/>
                    <w:spacing w:after="0"/>
                    <w:jc w:val="center"/>
                    <w:rPr>
                      <w:rFonts w:hint="eastAsia" w:ascii="宋体" w:hAnsi="宋体" w:cs="宋体"/>
                      <w:sz w:val="18"/>
                      <w:szCs w:val="18"/>
                    </w:rPr>
                  </w:pPr>
                </w:p>
              </w:tc>
              <w:tc>
                <w:tcPr>
                  <w:tcW w:w="1185" w:type="dxa"/>
                  <w:noWrap w:val="0"/>
                  <w:vAlign w:val="center"/>
                </w:tcPr>
                <w:p>
                  <w:pPr>
                    <w:pStyle w:val="16"/>
                    <w:rPr>
                      <w:rFonts w:hint="eastAsia" w:ascii="宋体" w:hAnsi="宋体" w:eastAsia="宋体" w:cs="宋体"/>
                      <w:color w:val="auto"/>
                      <w:sz w:val="18"/>
                      <w:szCs w:val="18"/>
                    </w:rPr>
                  </w:pPr>
                  <w:r>
                    <w:rPr>
                      <w:rFonts w:hint="eastAsia" w:ascii="宋体" w:hAnsi="宋体" w:eastAsia="宋体" w:cs="宋体"/>
                      <w:color w:val="auto"/>
                      <w:sz w:val="18"/>
                      <w:szCs w:val="18"/>
                    </w:rPr>
                    <w:t>采样方法</w:t>
                  </w:r>
                </w:p>
                <w:p>
                  <w:pPr>
                    <w:adjustRightInd/>
                    <w:snapToGrid/>
                    <w:spacing w:after="0"/>
                    <w:jc w:val="center"/>
                    <w:rPr>
                      <w:rFonts w:hint="eastAsia" w:ascii="宋体" w:hAnsi="宋体" w:cs="宋体"/>
                      <w:sz w:val="18"/>
                      <w:szCs w:val="18"/>
                    </w:rPr>
                  </w:pPr>
                </w:p>
              </w:tc>
              <w:tc>
                <w:tcPr>
                  <w:tcW w:w="2971" w:type="dxa"/>
                  <w:noWrap w:val="0"/>
                  <w:vAlign w:val="center"/>
                </w:tcPr>
                <w:p>
                  <w:pPr>
                    <w:adjustRightInd/>
                    <w:snapToGrid/>
                    <w:spacing w:after="0"/>
                    <w:rPr>
                      <w:rFonts w:hint="eastAsia" w:ascii="宋体" w:hAnsi="宋体" w:cs="宋体"/>
                      <w:sz w:val="18"/>
                      <w:szCs w:val="18"/>
                    </w:rPr>
                  </w:pPr>
                </w:p>
                <w:p>
                  <w:pPr>
                    <w:adjustRightInd/>
                    <w:snapToGrid/>
                    <w:spacing w:after="0"/>
                    <w:jc w:val="center"/>
                    <w:rPr>
                      <w:rFonts w:hint="eastAsia" w:ascii="宋体" w:hAnsi="宋体" w:cs="宋体"/>
                      <w:sz w:val="18"/>
                      <w:szCs w:val="18"/>
                    </w:rPr>
                  </w:pPr>
                  <w:r>
                    <w:rPr>
                      <w:rFonts w:hint="eastAsia" w:ascii="宋体" w:hAnsi="宋体" w:cs="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exact"/>
              </w:trPr>
              <w:tc>
                <w:tcPr>
                  <w:tcW w:w="784" w:type="dxa"/>
                  <w:vMerge w:val="restart"/>
                  <w:shd w:val="clear" w:color="000000" w:fill="FFFFFF"/>
                  <w:noWrap w:val="0"/>
                  <w:vAlign w:val="center"/>
                </w:tcPr>
                <w:p>
                  <w:pPr>
                    <w:rPr>
                      <w:rFonts w:hint="eastAsia" w:ascii="宋体" w:hAnsi="宋体" w:cs="宋体"/>
                      <w:b/>
                      <w:sz w:val="18"/>
                      <w:szCs w:val="18"/>
                    </w:rPr>
                  </w:pPr>
                  <w:r>
                    <w:rPr>
                      <w:rFonts w:hint="eastAsia" w:ascii="宋体" w:hAnsi="宋体" w:cs="宋体"/>
                      <w:b/>
                      <w:sz w:val="18"/>
                      <w:szCs w:val="18"/>
                    </w:rPr>
                    <w:t>废水</w:t>
                  </w:r>
                </w:p>
              </w:tc>
              <w:tc>
                <w:tcPr>
                  <w:tcW w:w="1025" w:type="dxa"/>
                  <w:vMerge w:val="restart"/>
                  <w:shd w:val="clear" w:color="000000" w:fill="FFFFFF"/>
                  <w:noWrap w:val="0"/>
                  <w:vAlign w:val="center"/>
                </w:tcPr>
                <w:p>
                  <w:pPr>
                    <w:adjustRightInd/>
                    <w:snapToGrid/>
                    <w:spacing w:after="0"/>
                    <w:jc w:val="center"/>
                    <w:rPr>
                      <w:rFonts w:hint="eastAsia" w:ascii="宋体" w:hAnsi="宋体" w:eastAsia="宋体" w:cs="宋体"/>
                      <w:b/>
                      <w:sz w:val="18"/>
                      <w:szCs w:val="18"/>
                      <w:lang w:val="en-US" w:eastAsia="zh-CN"/>
                    </w:rPr>
                  </w:pPr>
                  <w:r>
                    <w:rPr>
                      <w:rFonts w:hint="eastAsia" w:ascii="宋体" w:hAnsi="宋体" w:cs="宋体"/>
                      <w:b/>
                      <w:sz w:val="18"/>
                      <w:szCs w:val="18"/>
                    </w:rPr>
                    <w:t>生产废水总排放口   ws-0000</w:t>
                  </w:r>
                  <w:r>
                    <w:rPr>
                      <w:rFonts w:hint="eastAsia" w:ascii="宋体" w:hAnsi="宋体" w:cs="宋体"/>
                      <w:b/>
                      <w:sz w:val="18"/>
                      <w:szCs w:val="18"/>
                      <w:lang w:val="en-US" w:eastAsia="zh-CN"/>
                    </w:rPr>
                    <w:t>1</w:t>
                  </w:r>
                </w:p>
                <w:p>
                  <w:pPr>
                    <w:adjustRightInd/>
                    <w:snapToGrid/>
                    <w:spacing w:after="0"/>
                    <w:jc w:val="center"/>
                    <w:rPr>
                      <w:rFonts w:hint="eastAsia" w:ascii="宋体" w:hAnsi="宋体" w:cs="宋体"/>
                      <w:sz w:val="18"/>
                      <w:szCs w:val="18"/>
                    </w:rPr>
                  </w:pPr>
                </w:p>
                <w:p>
                  <w:pPr>
                    <w:jc w:val="center"/>
                    <w:rPr>
                      <w:rFonts w:hint="eastAsia" w:ascii="宋体" w:hAnsi="宋体" w:cs="宋体"/>
                      <w:b/>
                      <w:sz w:val="18"/>
                      <w:szCs w:val="18"/>
                    </w:rPr>
                  </w:pPr>
                </w:p>
              </w:tc>
              <w:tc>
                <w:tcPr>
                  <w:tcW w:w="1136" w:type="dxa"/>
                  <w:shd w:val="clear" w:color="000000" w:fill="FFFFFF"/>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化学需氧量</w:t>
                  </w:r>
                </w:p>
              </w:tc>
              <w:tc>
                <w:tcPr>
                  <w:tcW w:w="1132" w:type="dxa"/>
                  <w:vMerge w:val="restart"/>
                  <w:shd w:val="clear" w:color="000000" w:fill="FFFFFF"/>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《电镀污染物排放标准》</w:t>
                  </w:r>
                </w:p>
                <w:p>
                  <w:pPr>
                    <w:jc w:val="center"/>
                    <w:rPr>
                      <w:rFonts w:hint="eastAsia" w:ascii="宋体" w:hAnsi="宋体" w:cs="宋体"/>
                      <w:sz w:val="18"/>
                      <w:szCs w:val="18"/>
                    </w:rPr>
                  </w:pPr>
                  <w:r>
                    <w:rPr>
                      <w:rFonts w:hint="eastAsia" w:ascii="宋体" w:hAnsi="宋体" w:cs="宋体"/>
                      <w:sz w:val="18"/>
                      <w:szCs w:val="18"/>
                    </w:rPr>
                    <w:t>GB21900-2008</w:t>
                  </w:r>
                </w:p>
              </w:tc>
              <w:tc>
                <w:tcPr>
                  <w:tcW w:w="1045" w:type="dxa"/>
                  <w:shd w:val="clear" w:color="000000" w:fill="FFFFFF"/>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80</w:t>
                  </w:r>
                </w:p>
              </w:tc>
              <w:tc>
                <w:tcPr>
                  <w:tcW w:w="1305" w:type="dxa"/>
                  <w:noWrap w:val="0"/>
                  <w:vAlign w:val="center"/>
                </w:tcPr>
                <w:p>
                  <w:pPr>
                    <w:adjustRightInd/>
                    <w:snapToGrid/>
                    <w:spacing w:after="0"/>
                    <w:jc w:val="center"/>
                    <w:rPr>
                      <w:rFonts w:hint="eastAsia" w:ascii="宋体" w:hAnsi="宋体" w:eastAsia="宋体" w:cs="宋体"/>
                      <w:sz w:val="18"/>
                      <w:szCs w:val="18"/>
                      <w:lang w:eastAsia="zh-CN"/>
                    </w:rPr>
                  </w:pPr>
                  <w:r>
                    <w:rPr>
                      <w:rFonts w:hint="eastAsia" w:ascii="宋体" w:hAnsi="宋体" w:cs="宋体"/>
                      <w:sz w:val="18"/>
                      <w:szCs w:val="18"/>
                      <w:lang w:eastAsia="zh-CN"/>
                    </w:rPr>
                    <w:t>自动</w:t>
                  </w:r>
                </w:p>
              </w:tc>
              <w:tc>
                <w:tcPr>
                  <w:tcW w:w="1260"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1次/日</w:t>
                  </w:r>
                </w:p>
              </w:tc>
              <w:tc>
                <w:tcPr>
                  <w:tcW w:w="3150"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《水质 化学需氧量的测定 重铬酸盐法》 GB/T 11914-1989</w:t>
                  </w:r>
                </w:p>
              </w:tc>
              <w:tc>
                <w:tcPr>
                  <w:tcW w:w="1185" w:type="dxa"/>
                  <w:vMerge w:val="restart"/>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瞬时采样 至少3个瞬时样</w:t>
                  </w:r>
                </w:p>
                <w:p>
                  <w:pPr>
                    <w:adjustRightInd/>
                    <w:snapToGrid/>
                    <w:spacing w:after="0"/>
                    <w:jc w:val="center"/>
                    <w:rPr>
                      <w:rFonts w:hint="eastAsia" w:ascii="宋体" w:hAnsi="宋体" w:cs="宋体"/>
                      <w:sz w:val="18"/>
                      <w:szCs w:val="18"/>
                    </w:rPr>
                  </w:pPr>
                </w:p>
              </w:tc>
              <w:tc>
                <w:tcPr>
                  <w:tcW w:w="2971" w:type="dxa"/>
                  <w:noWrap w:val="0"/>
                  <w:vAlign w:val="center"/>
                </w:tcPr>
                <w:p>
                  <w:pPr>
                    <w:pStyle w:val="16"/>
                    <w:jc w:val="center"/>
                    <w:rPr>
                      <w:rFonts w:hint="eastAsia" w:ascii="宋体" w:hAnsi="宋体" w:eastAsia="宋体" w:cs="宋体"/>
                      <w:color w:val="auto"/>
                      <w:sz w:val="18"/>
                      <w:szCs w:val="18"/>
                    </w:rPr>
                  </w:pPr>
                  <w:r>
                    <w:rPr>
                      <w:rFonts w:hint="eastAsia" w:ascii="宋体" w:hAnsi="宋体" w:eastAsia="宋体" w:cs="宋体"/>
                      <w:color w:val="auto"/>
                      <w:sz w:val="18"/>
                      <w:szCs w:val="18"/>
                    </w:rPr>
                    <w:t>设备故障时，采用手工监测，每日监测不少于4次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784" w:type="dxa"/>
                  <w:vMerge w:val="continue"/>
                  <w:shd w:val="clear" w:color="000000" w:fill="FFFFFF"/>
                  <w:noWrap w:val="0"/>
                  <w:vAlign w:val="center"/>
                </w:tcPr>
                <w:p>
                  <w:pPr>
                    <w:jc w:val="center"/>
                    <w:rPr>
                      <w:rFonts w:hint="eastAsia" w:ascii="宋体" w:hAnsi="宋体" w:cs="宋体"/>
                      <w:sz w:val="18"/>
                      <w:szCs w:val="18"/>
                    </w:rPr>
                  </w:pPr>
                </w:p>
              </w:tc>
              <w:tc>
                <w:tcPr>
                  <w:tcW w:w="1025" w:type="dxa"/>
                  <w:vMerge w:val="continue"/>
                  <w:shd w:val="clear" w:color="000000" w:fill="FFFFFF"/>
                  <w:noWrap w:val="0"/>
                  <w:vAlign w:val="center"/>
                </w:tcPr>
                <w:p>
                  <w:pPr>
                    <w:jc w:val="center"/>
                    <w:rPr>
                      <w:rFonts w:hint="eastAsia" w:ascii="宋体" w:hAnsi="宋体" w:cs="宋体"/>
                      <w:b/>
                      <w:sz w:val="18"/>
                      <w:szCs w:val="18"/>
                    </w:rPr>
                  </w:pPr>
                </w:p>
              </w:tc>
              <w:tc>
                <w:tcPr>
                  <w:tcW w:w="1136" w:type="dxa"/>
                  <w:shd w:val="clear" w:color="000000" w:fill="FFFFFF"/>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氨氮</w:t>
                  </w:r>
                </w:p>
              </w:tc>
              <w:tc>
                <w:tcPr>
                  <w:tcW w:w="1132" w:type="dxa"/>
                  <w:vMerge w:val="continue"/>
                  <w:shd w:val="clear" w:color="000000" w:fill="FFFFFF"/>
                  <w:noWrap w:val="0"/>
                  <w:vAlign w:val="center"/>
                </w:tcPr>
                <w:p>
                  <w:pPr>
                    <w:jc w:val="center"/>
                    <w:rPr>
                      <w:rFonts w:hint="eastAsia" w:ascii="宋体" w:hAnsi="宋体" w:cs="宋体"/>
                      <w:sz w:val="18"/>
                      <w:szCs w:val="18"/>
                    </w:rPr>
                  </w:pPr>
                </w:p>
              </w:tc>
              <w:tc>
                <w:tcPr>
                  <w:tcW w:w="1045" w:type="dxa"/>
                  <w:shd w:val="clear" w:color="000000" w:fill="FFFFFF"/>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15</w:t>
                  </w:r>
                </w:p>
              </w:tc>
              <w:tc>
                <w:tcPr>
                  <w:tcW w:w="1305"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手工</w:t>
                  </w:r>
                </w:p>
              </w:tc>
              <w:tc>
                <w:tcPr>
                  <w:tcW w:w="1260"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1次/月</w:t>
                  </w:r>
                </w:p>
              </w:tc>
              <w:tc>
                <w:tcPr>
                  <w:tcW w:w="3150"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《水质 氨氮的测定　 纳氏试剂分光光度法》 HJ 535-2009</w:t>
                  </w:r>
                </w:p>
              </w:tc>
              <w:tc>
                <w:tcPr>
                  <w:tcW w:w="1185" w:type="dxa"/>
                  <w:vMerge w:val="continue"/>
                  <w:noWrap w:val="0"/>
                  <w:vAlign w:val="center"/>
                </w:tcPr>
                <w:p>
                  <w:pPr>
                    <w:adjustRightInd/>
                    <w:snapToGrid/>
                    <w:spacing w:after="0"/>
                    <w:jc w:val="center"/>
                    <w:rPr>
                      <w:rFonts w:hint="eastAsia" w:ascii="宋体" w:hAnsi="宋体" w:cs="宋体"/>
                      <w:sz w:val="18"/>
                      <w:szCs w:val="18"/>
                    </w:rPr>
                  </w:pPr>
                </w:p>
              </w:tc>
              <w:tc>
                <w:tcPr>
                  <w:tcW w:w="2971"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exact"/>
              </w:trPr>
              <w:tc>
                <w:tcPr>
                  <w:tcW w:w="784" w:type="dxa"/>
                  <w:vMerge w:val="continue"/>
                  <w:shd w:val="clear" w:color="000000" w:fill="FFFFFF"/>
                  <w:noWrap w:val="0"/>
                  <w:vAlign w:val="center"/>
                </w:tcPr>
                <w:p>
                  <w:pPr>
                    <w:jc w:val="center"/>
                    <w:rPr>
                      <w:rFonts w:hint="eastAsia" w:ascii="宋体" w:hAnsi="宋体" w:cs="宋体"/>
                      <w:sz w:val="18"/>
                      <w:szCs w:val="18"/>
                    </w:rPr>
                  </w:pPr>
                </w:p>
              </w:tc>
              <w:tc>
                <w:tcPr>
                  <w:tcW w:w="1025" w:type="dxa"/>
                  <w:vMerge w:val="continue"/>
                  <w:shd w:val="clear" w:color="000000" w:fill="FFFFFF"/>
                  <w:noWrap w:val="0"/>
                  <w:vAlign w:val="center"/>
                </w:tcPr>
                <w:p>
                  <w:pPr>
                    <w:jc w:val="center"/>
                    <w:rPr>
                      <w:rFonts w:hint="eastAsia" w:ascii="宋体" w:hAnsi="宋体" w:cs="宋体"/>
                      <w:b/>
                      <w:sz w:val="18"/>
                      <w:szCs w:val="18"/>
                    </w:rPr>
                  </w:pPr>
                </w:p>
              </w:tc>
              <w:tc>
                <w:tcPr>
                  <w:tcW w:w="1136" w:type="dxa"/>
                  <w:shd w:val="clear" w:color="000000" w:fill="FFFFFF"/>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pH值</w:t>
                  </w:r>
                </w:p>
              </w:tc>
              <w:tc>
                <w:tcPr>
                  <w:tcW w:w="1132" w:type="dxa"/>
                  <w:vMerge w:val="continue"/>
                  <w:shd w:val="clear" w:color="000000" w:fill="FFFFFF"/>
                  <w:noWrap w:val="0"/>
                  <w:vAlign w:val="center"/>
                </w:tcPr>
                <w:p>
                  <w:pPr>
                    <w:jc w:val="center"/>
                    <w:rPr>
                      <w:rFonts w:hint="eastAsia" w:ascii="宋体" w:hAnsi="宋体" w:cs="宋体"/>
                      <w:sz w:val="18"/>
                      <w:szCs w:val="18"/>
                    </w:rPr>
                  </w:pPr>
                </w:p>
              </w:tc>
              <w:tc>
                <w:tcPr>
                  <w:tcW w:w="1045" w:type="dxa"/>
                  <w:shd w:val="clear" w:color="000000" w:fill="FFFFFF"/>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6-9</w:t>
                  </w:r>
                </w:p>
              </w:tc>
              <w:tc>
                <w:tcPr>
                  <w:tcW w:w="1305" w:type="dxa"/>
                  <w:noWrap w:val="0"/>
                  <w:vAlign w:val="center"/>
                </w:tcPr>
                <w:p>
                  <w:pPr>
                    <w:adjustRightInd/>
                    <w:snapToGrid/>
                    <w:spacing w:after="0"/>
                    <w:jc w:val="center"/>
                    <w:rPr>
                      <w:rFonts w:hint="eastAsia" w:ascii="宋体" w:hAnsi="宋体" w:eastAsia="宋体" w:cs="宋体"/>
                      <w:sz w:val="18"/>
                      <w:szCs w:val="18"/>
                      <w:lang w:eastAsia="zh-CN"/>
                    </w:rPr>
                  </w:pPr>
                  <w:r>
                    <w:rPr>
                      <w:rFonts w:hint="eastAsia" w:ascii="宋体" w:hAnsi="宋体" w:cs="宋体"/>
                      <w:sz w:val="18"/>
                      <w:szCs w:val="18"/>
                      <w:lang w:eastAsia="zh-CN"/>
                    </w:rPr>
                    <w:t>自动</w:t>
                  </w:r>
                </w:p>
              </w:tc>
              <w:tc>
                <w:tcPr>
                  <w:tcW w:w="1260"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1次/日</w:t>
                  </w:r>
                </w:p>
              </w:tc>
              <w:tc>
                <w:tcPr>
                  <w:tcW w:w="3150"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《水质 PH 值的测定 玻璃电极法》GB/T 6920-1986</w:t>
                  </w:r>
                </w:p>
              </w:tc>
              <w:tc>
                <w:tcPr>
                  <w:tcW w:w="1185" w:type="dxa"/>
                  <w:vMerge w:val="continue"/>
                  <w:noWrap w:val="0"/>
                  <w:vAlign w:val="center"/>
                </w:tcPr>
                <w:p>
                  <w:pPr>
                    <w:adjustRightInd/>
                    <w:snapToGrid/>
                    <w:spacing w:after="0"/>
                    <w:jc w:val="center"/>
                    <w:rPr>
                      <w:rFonts w:hint="eastAsia" w:ascii="宋体" w:hAnsi="宋体" w:cs="宋体"/>
                      <w:sz w:val="18"/>
                      <w:szCs w:val="18"/>
                    </w:rPr>
                  </w:pPr>
                </w:p>
              </w:tc>
              <w:tc>
                <w:tcPr>
                  <w:tcW w:w="2971"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设备故障时，采用手工监测，每日监测不少于4次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exact"/>
              </w:trPr>
              <w:tc>
                <w:tcPr>
                  <w:tcW w:w="784" w:type="dxa"/>
                  <w:vMerge w:val="continue"/>
                  <w:shd w:val="clear" w:color="000000" w:fill="FFFFFF"/>
                  <w:noWrap w:val="0"/>
                  <w:vAlign w:val="center"/>
                </w:tcPr>
                <w:p>
                  <w:pPr>
                    <w:adjustRightInd/>
                    <w:snapToGrid/>
                    <w:spacing w:after="0"/>
                    <w:jc w:val="center"/>
                    <w:rPr>
                      <w:rFonts w:hint="eastAsia" w:ascii="宋体" w:hAnsi="宋体" w:cs="宋体"/>
                      <w:sz w:val="18"/>
                      <w:szCs w:val="18"/>
                    </w:rPr>
                  </w:pPr>
                </w:p>
              </w:tc>
              <w:tc>
                <w:tcPr>
                  <w:tcW w:w="1025" w:type="dxa"/>
                  <w:vMerge w:val="continue"/>
                  <w:shd w:val="clear" w:color="000000" w:fill="FFFFFF"/>
                  <w:noWrap w:val="0"/>
                  <w:vAlign w:val="center"/>
                </w:tcPr>
                <w:p>
                  <w:pPr>
                    <w:adjustRightInd/>
                    <w:snapToGrid/>
                    <w:spacing w:after="0"/>
                    <w:jc w:val="center"/>
                    <w:rPr>
                      <w:rFonts w:hint="eastAsia" w:ascii="宋体" w:hAnsi="宋体" w:cs="宋体"/>
                      <w:sz w:val="18"/>
                      <w:szCs w:val="18"/>
                    </w:rPr>
                  </w:pPr>
                </w:p>
              </w:tc>
              <w:tc>
                <w:tcPr>
                  <w:tcW w:w="1136" w:type="dxa"/>
                  <w:shd w:val="clear" w:color="000000" w:fill="FFFFFF"/>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流量</w:t>
                  </w:r>
                </w:p>
              </w:tc>
              <w:tc>
                <w:tcPr>
                  <w:tcW w:w="1132" w:type="dxa"/>
                  <w:vMerge w:val="continue"/>
                  <w:shd w:val="clear" w:color="000000" w:fill="FFFFFF"/>
                  <w:noWrap w:val="0"/>
                  <w:vAlign w:val="center"/>
                </w:tcPr>
                <w:p>
                  <w:pPr>
                    <w:jc w:val="center"/>
                    <w:rPr>
                      <w:rFonts w:hint="eastAsia" w:ascii="宋体" w:hAnsi="宋体" w:cs="宋体"/>
                      <w:sz w:val="18"/>
                      <w:szCs w:val="18"/>
                    </w:rPr>
                  </w:pPr>
                </w:p>
              </w:tc>
              <w:tc>
                <w:tcPr>
                  <w:tcW w:w="1045" w:type="dxa"/>
                  <w:shd w:val="clear" w:color="000000" w:fill="FFFFFF"/>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w:t>
                  </w:r>
                </w:p>
              </w:tc>
              <w:tc>
                <w:tcPr>
                  <w:tcW w:w="1305"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自动</w:t>
                  </w:r>
                </w:p>
              </w:tc>
              <w:tc>
                <w:tcPr>
                  <w:tcW w:w="1260"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连续</w:t>
                  </w:r>
                </w:p>
              </w:tc>
              <w:tc>
                <w:tcPr>
                  <w:tcW w:w="3150"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w:t>
                  </w:r>
                </w:p>
              </w:tc>
              <w:tc>
                <w:tcPr>
                  <w:tcW w:w="1185"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w:t>
                  </w:r>
                </w:p>
              </w:tc>
              <w:tc>
                <w:tcPr>
                  <w:tcW w:w="2971"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exact"/>
              </w:trPr>
              <w:tc>
                <w:tcPr>
                  <w:tcW w:w="784" w:type="dxa"/>
                  <w:vMerge w:val="continue"/>
                  <w:shd w:val="clear" w:color="000000" w:fill="FFFFFF"/>
                  <w:noWrap w:val="0"/>
                  <w:vAlign w:val="center"/>
                </w:tcPr>
                <w:p>
                  <w:pPr>
                    <w:adjustRightInd/>
                    <w:snapToGrid/>
                    <w:spacing w:after="0"/>
                    <w:jc w:val="center"/>
                    <w:rPr>
                      <w:rFonts w:hint="eastAsia" w:ascii="宋体" w:hAnsi="宋体" w:cs="宋体"/>
                      <w:sz w:val="18"/>
                      <w:szCs w:val="18"/>
                    </w:rPr>
                  </w:pPr>
                </w:p>
              </w:tc>
              <w:tc>
                <w:tcPr>
                  <w:tcW w:w="1025" w:type="dxa"/>
                  <w:vMerge w:val="continue"/>
                  <w:shd w:val="clear" w:color="000000" w:fill="FFFFFF"/>
                  <w:noWrap w:val="0"/>
                  <w:vAlign w:val="center"/>
                </w:tcPr>
                <w:p>
                  <w:pPr>
                    <w:adjustRightInd/>
                    <w:snapToGrid/>
                    <w:spacing w:after="0"/>
                    <w:jc w:val="center"/>
                    <w:rPr>
                      <w:rFonts w:hint="eastAsia" w:ascii="宋体" w:hAnsi="宋体" w:cs="宋体"/>
                      <w:sz w:val="18"/>
                      <w:szCs w:val="18"/>
                    </w:rPr>
                  </w:pPr>
                </w:p>
              </w:tc>
              <w:tc>
                <w:tcPr>
                  <w:tcW w:w="1136" w:type="dxa"/>
                  <w:shd w:val="clear" w:color="000000" w:fill="FFFFFF"/>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总铜</w:t>
                  </w:r>
                </w:p>
              </w:tc>
              <w:tc>
                <w:tcPr>
                  <w:tcW w:w="1132" w:type="dxa"/>
                  <w:vMerge w:val="continue"/>
                  <w:shd w:val="clear" w:color="000000" w:fill="FFFFFF"/>
                  <w:noWrap w:val="0"/>
                  <w:vAlign w:val="center"/>
                </w:tcPr>
                <w:p>
                  <w:pPr>
                    <w:jc w:val="center"/>
                    <w:rPr>
                      <w:rFonts w:hint="eastAsia" w:ascii="宋体" w:hAnsi="宋体" w:cs="宋体"/>
                      <w:sz w:val="18"/>
                      <w:szCs w:val="18"/>
                    </w:rPr>
                  </w:pPr>
                </w:p>
              </w:tc>
              <w:tc>
                <w:tcPr>
                  <w:tcW w:w="1045" w:type="dxa"/>
                  <w:shd w:val="clear" w:color="000000" w:fill="FFFFFF"/>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0.5</w:t>
                  </w:r>
                </w:p>
              </w:tc>
              <w:tc>
                <w:tcPr>
                  <w:tcW w:w="1305"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手工</w:t>
                  </w:r>
                </w:p>
              </w:tc>
              <w:tc>
                <w:tcPr>
                  <w:tcW w:w="1260"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1次/日</w:t>
                  </w:r>
                </w:p>
              </w:tc>
              <w:tc>
                <w:tcPr>
                  <w:tcW w:w="3150"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《水质  苯胺类的测定 N-（1奈基）乙二胺偶氮分光光度法》GB/T11889-1989</w:t>
                  </w:r>
                </w:p>
              </w:tc>
              <w:tc>
                <w:tcPr>
                  <w:tcW w:w="1185" w:type="dxa"/>
                  <w:vMerge w:val="restart"/>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瞬时采样 至少3个瞬时样</w:t>
                  </w:r>
                </w:p>
              </w:tc>
              <w:tc>
                <w:tcPr>
                  <w:tcW w:w="2971"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trPr>
              <w:tc>
                <w:tcPr>
                  <w:tcW w:w="784" w:type="dxa"/>
                  <w:vMerge w:val="continue"/>
                  <w:shd w:val="clear" w:color="auto" w:fill="auto"/>
                  <w:noWrap w:val="0"/>
                  <w:vAlign w:val="center"/>
                </w:tcPr>
                <w:p>
                  <w:pPr>
                    <w:adjustRightInd/>
                    <w:snapToGrid/>
                    <w:spacing w:after="0"/>
                    <w:jc w:val="center"/>
                    <w:rPr>
                      <w:rFonts w:hint="eastAsia" w:ascii="宋体" w:hAnsi="宋体" w:cs="宋体"/>
                      <w:sz w:val="18"/>
                      <w:szCs w:val="18"/>
                    </w:rPr>
                  </w:pPr>
                </w:p>
              </w:tc>
              <w:tc>
                <w:tcPr>
                  <w:tcW w:w="1025" w:type="dxa"/>
                  <w:vMerge w:val="continue"/>
                  <w:shd w:val="clear" w:color="auto" w:fill="auto"/>
                  <w:noWrap w:val="0"/>
                  <w:vAlign w:val="center"/>
                </w:tcPr>
                <w:p>
                  <w:pPr>
                    <w:adjustRightInd/>
                    <w:snapToGrid/>
                    <w:spacing w:after="0"/>
                    <w:jc w:val="center"/>
                    <w:rPr>
                      <w:rFonts w:hint="eastAsia" w:ascii="宋体" w:hAnsi="宋体" w:cs="宋体"/>
                      <w:sz w:val="18"/>
                      <w:szCs w:val="18"/>
                    </w:rPr>
                  </w:pPr>
                </w:p>
              </w:tc>
              <w:tc>
                <w:tcPr>
                  <w:tcW w:w="1136" w:type="dxa"/>
                  <w:shd w:val="clear" w:color="000000" w:fill="FFFFFF"/>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悬浮物</w:t>
                  </w:r>
                </w:p>
              </w:tc>
              <w:tc>
                <w:tcPr>
                  <w:tcW w:w="1132" w:type="dxa"/>
                  <w:vMerge w:val="continue"/>
                  <w:shd w:val="clear" w:color="000000" w:fill="FFFFFF"/>
                  <w:noWrap w:val="0"/>
                  <w:vAlign w:val="center"/>
                </w:tcPr>
                <w:p>
                  <w:pPr>
                    <w:jc w:val="center"/>
                    <w:rPr>
                      <w:rFonts w:hint="eastAsia" w:ascii="宋体" w:hAnsi="宋体" w:cs="宋体"/>
                      <w:sz w:val="18"/>
                      <w:szCs w:val="18"/>
                    </w:rPr>
                  </w:pPr>
                </w:p>
              </w:tc>
              <w:tc>
                <w:tcPr>
                  <w:tcW w:w="1045" w:type="dxa"/>
                  <w:shd w:val="clear" w:color="000000" w:fill="FFFFFF"/>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50</w:t>
                  </w:r>
                </w:p>
              </w:tc>
              <w:tc>
                <w:tcPr>
                  <w:tcW w:w="1305"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手工</w:t>
                  </w:r>
                </w:p>
              </w:tc>
              <w:tc>
                <w:tcPr>
                  <w:tcW w:w="1260"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 xml:space="preserve">1次/月   </w:t>
                  </w:r>
                </w:p>
              </w:tc>
              <w:tc>
                <w:tcPr>
                  <w:tcW w:w="3150"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《水质 悬浮物的测定 重量法》GB/T 11901-1989</w:t>
                  </w:r>
                </w:p>
              </w:tc>
              <w:tc>
                <w:tcPr>
                  <w:tcW w:w="1185" w:type="dxa"/>
                  <w:vMerge w:val="continue"/>
                  <w:noWrap w:val="0"/>
                  <w:vAlign w:val="center"/>
                </w:tcPr>
                <w:p>
                  <w:pPr>
                    <w:adjustRightInd/>
                    <w:snapToGrid/>
                    <w:spacing w:after="0"/>
                    <w:jc w:val="center"/>
                    <w:rPr>
                      <w:rFonts w:hint="eastAsia" w:ascii="宋体" w:hAnsi="宋体" w:cs="宋体"/>
                      <w:sz w:val="18"/>
                      <w:szCs w:val="18"/>
                    </w:rPr>
                  </w:pPr>
                </w:p>
              </w:tc>
              <w:tc>
                <w:tcPr>
                  <w:tcW w:w="2971"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trPr>
              <w:tc>
                <w:tcPr>
                  <w:tcW w:w="784" w:type="dxa"/>
                  <w:vMerge w:val="continue"/>
                  <w:shd w:val="clear" w:color="auto" w:fill="auto"/>
                  <w:noWrap w:val="0"/>
                  <w:vAlign w:val="center"/>
                </w:tcPr>
                <w:p>
                  <w:pPr>
                    <w:adjustRightInd/>
                    <w:snapToGrid/>
                    <w:spacing w:after="0"/>
                    <w:jc w:val="center"/>
                    <w:rPr>
                      <w:rFonts w:hint="eastAsia" w:ascii="宋体" w:hAnsi="宋体" w:cs="宋体"/>
                      <w:sz w:val="18"/>
                      <w:szCs w:val="18"/>
                    </w:rPr>
                  </w:pPr>
                </w:p>
              </w:tc>
              <w:tc>
                <w:tcPr>
                  <w:tcW w:w="1025" w:type="dxa"/>
                  <w:vMerge w:val="continue"/>
                  <w:shd w:val="clear" w:color="auto" w:fill="auto"/>
                  <w:noWrap w:val="0"/>
                  <w:vAlign w:val="center"/>
                </w:tcPr>
                <w:p>
                  <w:pPr>
                    <w:adjustRightInd/>
                    <w:snapToGrid/>
                    <w:spacing w:after="0"/>
                    <w:jc w:val="center"/>
                    <w:rPr>
                      <w:rFonts w:hint="eastAsia" w:ascii="宋体" w:hAnsi="宋体" w:cs="宋体"/>
                      <w:sz w:val="18"/>
                      <w:szCs w:val="18"/>
                    </w:rPr>
                  </w:pPr>
                </w:p>
              </w:tc>
              <w:tc>
                <w:tcPr>
                  <w:tcW w:w="1136" w:type="dxa"/>
                  <w:shd w:val="clear" w:color="000000" w:fill="FFFFFF"/>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总氮（以N计）</w:t>
                  </w:r>
                </w:p>
              </w:tc>
              <w:tc>
                <w:tcPr>
                  <w:tcW w:w="1132" w:type="dxa"/>
                  <w:vMerge w:val="continue"/>
                  <w:shd w:val="clear" w:color="000000" w:fill="FFFFFF"/>
                  <w:noWrap w:val="0"/>
                  <w:vAlign w:val="center"/>
                </w:tcPr>
                <w:p>
                  <w:pPr>
                    <w:jc w:val="center"/>
                    <w:rPr>
                      <w:rFonts w:hint="eastAsia" w:ascii="宋体" w:hAnsi="宋体" w:cs="宋体"/>
                      <w:sz w:val="18"/>
                      <w:szCs w:val="18"/>
                    </w:rPr>
                  </w:pPr>
                </w:p>
              </w:tc>
              <w:tc>
                <w:tcPr>
                  <w:tcW w:w="1045" w:type="dxa"/>
                  <w:shd w:val="clear" w:color="000000" w:fill="FFFFFF"/>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20</w:t>
                  </w:r>
                </w:p>
              </w:tc>
              <w:tc>
                <w:tcPr>
                  <w:tcW w:w="1305"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手工</w:t>
                  </w:r>
                </w:p>
              </w:tc>
              <w:tc>
                <w:tcPr>
                  <w:tcW w:w="1260"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1次/日</w:t>
                  </w:r>
                </w:p>
              </w:tc>
              <w:tc>
                <w:tcPr>
                  <w:tcW w:w="3150"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 xml:space="preserve">《水质 总氮的测定 碱性过硫酸钾消解紫外分光光度法》 </w:t>
                  </w:r>
                </w:p>
                <w:p>
                  <w:pPr>
                    <w:adjustRightInd/>
                    <w:snapToGrid/>
                    <w:spacing w:after="0"/>
                    <w:jc w:val="center"/>
                    <w:rPr>
                      <w:rFonts w:hint="eastAsia" w:ascii="宋体" w:hAnsi="宋体" w:cs="宋体"/>
                      <w:sz w:val="18"/>
                      <w:szCs w:val="18"/>
                    </w:rPr>
                  </w:pPr>
                  <w:r>
                    <w:rPr>
                      <w:rFonts w:ascii="宋体" w:hAnsi="宋体" w:cs="宋体"/>
                      <w:sz w:val="18"/>
                      <w:szCs w:val="18"/>
                    </w:rPr>
                    <w:t>HJ 636-2012</w:t>
                  </w:r>
                </w:p>
              </w:tc>
              <w:tc>
                <w:tcPr>
                  <w:tcW w:w="1185" w:type="dxa"/>
                  <w:vMerge w:val="continue"/>
                  <w:noWrap w:val="0"/>
                  <w:vAlign w:val="center"/>
                </w:tcPr>
                <w:p>
                  <w:pPr>
                    <w:adjustRightInd/>
                    <w:snapToGrid/>
                    <w:spacing w:after="0"/>
                    <w:jc w:val="center"/>
                    <w:rPr>
                      <w:rFonts w:hint="eastAsia" w:ascii="宋体" w:hAnsi="宋体" w:cs="宋体"/>
                      <w:sz w:val="18"/>
                      <w:szCs w:val="18"/>
                    </w:rPr>
                  </w:pPr>
                </w:p>
              </w:tc>
              <w:tc>
                <w:tcPr>
                  <w:tcW w:w="2971"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trPr>
              <w:tc>
                <w:tcPr>
                  <w:tcW w:w="784" w:type="dxa"/>
                  <w:vMerge w:val="continue"/>
                  <w:shd w:val="clear" w:color="auto" w:fill="auto"/>
                  <w:noWrap w:val="0"/>
                  <w:vAlign w:val="center"/>
                </w:tcPr>
                <w:p>
                  <w:pPr>
                    <w:adjustRightInd/>
                    <w:snapToGrid/>
                    <w:spacing w:after="0"/>
                    <w:jc w:val="center"/>
                    <w:rPr>
                      <w:rFonts w:hint="eastAsia" w:ascii="宋体" w:hAnsi="宋体" w:cs="宋体"/>
                      <w:sz w:val="18"/>
                      <w:szCs w:val="18"/>
                    </w:rPr>
                  </w:pPr>
                </w:p>
              </w:tc>
              <w:tc>
                <w:tcPr>
                  <w:tcW w:w="1025" w:type="dxa"/>
                  <w:vMerge w:val="continue"/>
                  <w:shd w:val="clear" w:color="auto" w:fill="auto"/>
                  <w:noWrap w:val="0"/>
                  <w:vAlign w:val="center"/>
                </w:tcPr>
                <w:p>
                  <w:pPr>
                    <w:adjustRightInd/>
                    <w:snapToGrid/>
                    <w:spacing w:after="0"/>
                    <w:jc w:val="center"/>
                    <w:rPr>
                      <w:rFonts w:hint="eastAsia" w:ascii="宋体" w:hAnsi="宋体" w:cs="宋体"/>
                      <w:sz w:val="18"/>
                      <w:szCs w:val="18"/>
                    </w:rPr>
                  </w:pPr>
                </w:p>
              </w:tc>
              <w:tc>
                <w:tcPr>
                  <w:tcW w:w="1136" w:type="dxa"/>
                  <w:shd w:val="clear" w:color="000000" w:fill="FFFFFF"/>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石油类</w:t>
                  </w:r>
                </w:p>
              </w:tc>
              <w:tc>
                <w:tcPr>
                  <w:tcW w:w="1132" w:type="dxa"/>
                  <w:vMerge w:val="continue"/>
                  <w:shd w:val="clear" w:color="000000" w:fill="FFFFFF"/>
                  <w:noWrap w:val="0"/>
                  <w:vAlign w:val="center"/>
                </w:tcPr>
                <w:p>
                  <w:pPr>
                    <w:jc w:val="center"/>
                    <w:rPr>
                      <w:rFonts w:hint="eastAsia" w:ascii="宋体" w:hAnsi="宋体" w:cs="宋体"/>
                      <w:sz w:val="18"/>
                      <w:szCs w:val="18"/>
                    </w:rPr>
                  </w:pPr>
                </w:p>
              </w:tc>
              <w:tc>
                <w:tcPr>
                  <w:tcW w:w="1045" w:type="dxa"/>
                  <w:shd w:val="clear" w:color="000000" w:fill="FFFFFF"/>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3.0</w:t>
                  </w:r>
                </w:p>
              </w:tc>
              <w:tc>
                <w:tcPr>
                  <w:tcW w:w="1305"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手工</w:t>
                  </w:r>
                </w:p>
              </w:tc>
              <w:tc>
                <w:tcPr>
                  <w:tcW w:w="1260"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1次/月</w:t>
                  </w:r>
                </w:p>
              </w:tc>
              <w:tc>
                <w:tcPr>
                  <w:tcW w:w="3150"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《水质 五日生化需氧量（BOD</w:t>
                  </w:r>
                  <w:r>
                    <w:rPr>
                      <w:rFonts w:hint="eastAsia" w:ascii="宋体" w:hAnsi="宋体" w:cs="宋体"/>
                      <w:sz w:val="18"/>
                      <w:szCs w:val="18"/>
                      <w:vertAlign w:val="subscript"/>
                    </w:rPr>
                    <w:t>5</w:t>
                  </w:r>
                  <w:r>
                    <w:rPr>
                      <w:rFonts w:hint="eastAsia" w:ascii="宋体" w:hAnsi="宋体" w:cs="宋体"/>
                      <w:sz w:val="18"/>
                      <w:szCs w:val="18"/>
                    </w:rPr>
                    <w:t>）的测定 稀释与接种法》 HJ 505-2009</w:t>
                  </w:r>
                </w:p>
              </w:tc>
              <w:tc>
                <w:tcPr>
                  <w:tcW w:w="1185" w:type="dxa"/>
                  <w:vMerge w:val="continue"/>
                  <w:noWrap w:val="0"/>
                  <w:vAlign w:val="center"/>
                </w:tcPr>
                <w:p>
                  <w:pPr>
                    <w:adjustRightInd/>
                    <w:snapToGrid/>
                    <w:spacing w:after="0"/>
                    <w:jc w:val="center"/>
                    <w:rPr>
                      <w:rFonts w:hint="eastAsia" w:ascii="宋体" w:hAnsi="宋体" w:cs="宋体"/>
                      <w:sz w:val="18"/>
                      <w:szCs w:val="18"/>
                    </w:rPr>
                  </w:pPr>
                </w:p>
              </w:tc>
              <w:tc>
                <w:tcPr>
                  <w:tcW w:w="2971"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784" w:type="dxa"/>
                  <w:vMerge w:val="continue"/>
                  <w:shd w:val="clear" w:color="auto" w:fill="auto"/>
                  <w:noWrap w:val="0"/>
                  <w:vAlign w:val="center"/>
                </w:tcPr>
                <w:p>
                  <w:pPr>
                    <w:adjustRightInd/>
                    <w:snapToGrid/>
                    <w:spacing w:after="0"/>
                    <w:jc w:val="center"/>
                    <w:rPr>
                      <w:rFonts w:hint="eastAsia" w:ascii="宋体" w:hAnsi="宋体" w:cs="宋体"/>
                      <w:sz w:val="18"/>
                      <w:szCs w:val="18"/>
                    </w:rPr>
                  </w:pPr>
                </w:p>
              </w:tc>
              <w:tc>
                <w:tcPr>
                  <w:tcW w:w="1025" w:type="dxa"/>
                  <w:vMerge w:val="continue"/>
                  <w:shd w:val="clear" w:color="auto" w:fill="auto"/>
                  <w:noWrap w:val="0"/>
                  <w:vAlign w:val="center"/>
                </w:tcPr>
                <w:p>
                  <w:pPr>
                    <w:adjustRightInd/>
                    <w:snapToGrid/>
                    <w:spacing w:after="0"/>
                    <w:jc w:val="center"/>
                    <w:rPr>
                      <w:rFonts w:hint="eastAsia" w:ascii="宋体" w:hAnsi="宋体" w:cs="宋体"/>
                      <w:sz w:val="18"/>
                      <w:szCs w:val="18"/>
                    </w:rPr>
                  </w:pPr>
                </w:p>
              </w:tc>
              <w:tc>
                <w:tcPr>
                  <w:tcW w:w="1136" w:type="dxa"/>
                  <w:shd w:val="clear" w:color="000000" w:fill="FFFFFF"/>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总磷（以P计）</w:t>
                  </w:r>
                </w:p>
              </w:tc>
              <w:tc>
                <w:tcPr>
                  <w:tcW w:w="1132" w:type="dxa"/>
                  <w:vMerge w:val="continue"/>
                  <w:shd w:val="clear" w:color="000000" w:fill="FFFFFF"/>
                  <w:noWrap w:val="0"/>
                  <w:vAlign w:val="center"/>
                </w:tcPr>
                <w:p>
                  <w:pPr>
                    <w:adjustRightInd/>
                    <w:snapToGrid/>
                    <w:spacing w:after="0"/>
                    <w:jc w:val="center"/>
                    <w:rPr>
                      <w:rFonts w:hint="eastAsia" w:ascii="宋体" w:hAnsi="宋体" w:cs="宋体"/>
                      <w:sz w:val="18"/>
                      <w:szCs w:val="18"/>
                    </w:rPr>
                  </w:pPr>
                </w:p>
              </w:tc>
              <w:tc>
                <w:tcPr>
                  <w:tcW w:w="1045" w:type="dxa"/>
                  <w:shd w:val="clear" w:color="000000" w:fill="FFFFFF"/>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1.0</w:t>
                  </w:r>
                </w:p>
              </w:tc>
              <w:tc>
                <w:tcPr>
                  <w:tcW w:w="1305"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手工</w:t>
                  </w:r>
                </w:p>
              </w:tc>
              <w:tc>
                <w:tcPr>
                  <w:tcW w:w="1260"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1次/月</w:t>
                  </w:r>
                </w:p>
              </w:tc>
              <w:tc>
                <w:tcPr>
                  <w:tcW w:w="3150"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《水质 总磷的测定 流动注射-钼酸铵分光光度法》HJ671-2013</w:t>
                  </w:r>
                </w:p>
              </w:tc>
              <w:tc>
                <w:tcPr>
                  <w:tcW w:w="1185" w:type="dxa"/>
                  <w:vMerge w:val="continue"/>
                  <w:noWrap w:val="0"/>
                  <w:vAlign w:val="center"/>
                </w:tcPr>
                <w:p>
                  <w:pPr>
                    <w:adjustRightInd/>
                    <w:snapToGrid/>
                    <w:spacing w:after="0"/>
                    <w:jc w:val="center"/>
                    <w:rPr>
                      <w:rFonts w:hint="eastAsia" w:ascii="宋体" w:hAnsi="宋体" w:cs="宋体"/>
                      <w:sz w:val="18"/>
                      <w:szCs w:val="18"/>
                    </w:rPr>
                  </w:pPr>
                </w:p>
              </w:tc>
              <w:tc>
                <w:tcPr>
                  <w:tcW w:w="2971"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784" w:type="dxa"/>
                  <w:vMerge w:val="continue"/>
                  <w:shd w:val="clear" w:color="auto" w:fill="auto"/>
                  <w:noWrap w:val="0"/>
                  <w:vAlign w:val="center"/>
                </w:tcPr>
                <w:p>
                  <w:pPr>
                    <w:adjustRightInd/>
                    <w:snapToGrid/>
                    <w:spacing w:after="0"/>
                    <w:jc w:val="center"/>
                    <w:rPr>
                      <w:rFonts w:hint="eastAsia" w:ascii="宋体" w:hAnsi="宋体" w:cs="宋体"/>
                      <w:sz w:val="18"/>
                      <w:szCs w:val="18"/>
                    </w:rPr>
                  </w:pPr>
                </w:p>
              </w:tc>
              <w:tc>
                <w:tcPr>
                  <w:tcW w:w="1025" w:type="dxa"/>
                  <w:vMerge w:val="continue"/>
                  <w:shd w:val="clear" w:color="auto" w:fill="auto"/>
                  <w:noWrap w:val="0"/>
                  <w:vAlign w:val="top"/>
                </w:tcPr>
                <w:p>
                  <w:pPr>
                    <w:rPr>
                      <w:rFonts w:hint="eastAsia" w:ascii="宋体" w:hAnsi="宋体" w:cs="宋体"/>
                      <w:sz w:val="18"/>
                      <w:szCs w:val="18"/>
                    </w:rPr>
                  </w:pPr>
                </w:p>
              </w:tc>
              <w:tc>
                <w:tcPr>
                  <w:tcW w:w="1136" w:type="dxa"/>
                  <w:shd w:val="clear" w:color="000000" w:fill="FFFFFF"/>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五日生化需氧</w:t>
                  </w:r>
                </w:p>
              </w:tc>
              <w:tc>
                <w:tcPr>
                  <w:tcW w:w="1132" w:type="dxa"/>
                  <w:vMerge w:val="continue"/>
                  <w:shd w:val="clear" w:color="000000" w:fill="FFFFFF"/>
                  <w:noWrap w:val="0"/>
                  <w:vAlign w:val="center"/>
                </w:tcPr>
                <w:p>
                  <w:pPr>
                    <w:adjustRightInd/>
                    <w:snapToGrid/>
                    <w:spacing w:after="0"/>
                    <w:jc w:val="center"/>
                    <w:rPr>
                      <w:rFonts w:hint="eastAsia" w:ascii="宋体" w:hAnsi="宋体" w:cs="宋体"/>
                      <w:sz w:val="18"/>
                      <w:szCs w:val="18"/>
                    </w:rPr>
                  </w:pPr>
                </w:p>
              </w:tc>
              <w:tc>
                <w:tcPr>
                  <w:tcW w:w="1045" w:type="dxa"/>
                  <w:shd w:val="clear" w:color="000000" w:fill="FFFFFF"/>
                  <w:noWrap w:val="0"/>
                  <w:vAlign w:val="center"/>
                </w:tcPr>
                <w:p>
                  <w:pPr>
                    <w:adjustRightInd/>
                    <w:snapToGrid/>
                    <w:spacing w:after="0"/>
                    <w:jc w:val="center"/>
                    <w:rPr>
                      <w:rFonts w:hint="eastAsia" w:ascii="宋体" w:hAnsi="宋体" w:cs="宋体"/>
                      <w:sz w:val="18"/>
                      <w:szCs w:val="18"/>
                    </w:rPr>
                  </w:pPr>
                  <w:r>
                    <w:rPr>
                      <w:rFonts w:ascii="宋体" w:hAnsi="宋体" w:cs="宋体"/>
                      <w:sz w:val="18"/>
                      <w:szCs w:val="18"/>
                    </w:rPr>
                    <w:t>230</w:t>
                  </w:r>
                </w:p>
              </w:tc>
              <w:tc>
                <w:tcPr>
                  <w:tcW w:w="1305"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手工</w:t>
                  </w:r>
                </w:p>
              </w:tc>
              <w:tc>
                <w:tcPr>
                  <w:tcW w:w="1260"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1次/季度</w:t>
                  </w:r>
                </w:p>
              </w:tc>
              <w:tc>
                <w:tcPr>
                  <w:tcW w:w="3150"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 xml:space="preserve">《水质五日生化需氧量（BOD5）的测定 稀释与接种法》 </w:t>
                  </w:r>
                </w:p>
                <w:p>
                  <w:pPr>
                    <w:adjustRightInd/>
                    <w:snapToGrid/>
                    <w:spacing w:after="0"/>
                    <w:jc w:val="center"/>
                    <w:rPr>
                      <w:rFonts w:hint="eastAsia" w:ascii="宋体" w:hAnsi="宋体" w:cs="宋体"/>
                      <w:sz w:val="18"/>
                      <w:szCs w:val="18"/>
                    </w:rPr>
                  </w:pPr>
                  <w:r>
                    <w:rPr>
                      <w:rFonts w:ascii="宋体" w:hAnsi="宋体" w:cs="宋体"/>
                      <w:sz w:val="18"/>
                      <w:szCs w:val="18"/>
                    </w:rPr>
                    <w:t>HJ 505-2009</w:t>
                  </w:r>
                </w:p>
              </w:tc>
              <w:tc>
                <w:tcPr>
                  <w:tcW w:w="1185" w:type="dxa"/>
                  <w:vMerge w:val="continue"/>
                  <w:noWrap w:val="0"/>
                  <w:vAlign w:val="center"/>
                </w:tcPr>
                <w:p>
                  <w:pPr>
                    <w:adjustRightInd/>
                    <w:snapToGrid/>
                    <w:spacing w:after="0"/>
                    <w:jc w:val="center"/>
                    <w:rPr>
                      <w:rFonts w:hint="eastAsia" w:ascii="宋体" w:hAnsi="宋体" w:cs="宋体"/>
                      <w:sz w:val="18"/>
                      <w:szCs w:val="18"/>
                    </w:rPr>
                  </w:pPr>
                </w:p>
              </w:tc>
              <w:tc>
                <w:tcPr>
                  <w:tcW w:w="2971"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满足污水综合排放标准，同时满足污水处理厂进水要求。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784" w:type="dxa"/>
                  <w:vMerge w:val="continue"/>
                  <w:shd w:val="clear" w:color="auto" w:fill="auto"/>
                  <w:noWrap w:val="0"/>
                  <w:vAlign w:val="center"/>
                </w:tcPr>
                <w:p>
                  <w:pPr>
                    <w:adjustRightInd/>
                    <w:snapToGrid/>
                    <w:spacing w:after="0"/>
                    <w:jc w:val="center"/>
                    <w:rPr>
                      <w:rFonts w:hint="eastAsia" w:ascii="宋体" w:hAnsi="宋体" w:cs="宋体"/>
                      <w:sz w:val="18"/>
                      <w:szCs w:val="18"/>
                    </w:rPr>
                  </w:pPr>
                </w:p>
              </w:tc>
              <w:tc>
                <w:tcPr>
                  <w:tcW w:w="1025" w:type="dxa"/>
                  <w:vMerge w:val="continue"/>
                  <w:shd w:val="clear" w:color="auto" w:fill="auto"/>
                  <w:noWrap w:val="0"/>
                  <w:vAlign w:val="top"/>
                </w:tcPr>
                <w:p>
                  <w:pPr>
                    <w:rPr>
                      <w:rFonts w:hint="eastAsia" w:ascii="宋体" w:hAnsi="宋体" w:cs="宋体"/>
                      <w:sz w:val="18"/>
                      <w:szCs w:val="18"/>
                    </w:rPr>
                  </w:pPr>
                </w:p>
              </w:tc>
              <w:tc>
                <w:tcPr>
                  <w:tcW w:w="1136" w:type="dxa"/>
                  <w:shd w:val="clear" w:color="000000" w:fill="FFFFFF"/>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动植物油</w:t>
                  </w:r>
                </w:p>
              </w:tc>
              <w:tc>
                <w:tcPr>
                  <w:tcW w:w="1132" w:type="dxa"/>
                  <w:vMerge w:val="continue"/>
                  <w:shd w:val="clear" w:color="000000" w:fill="FFFFFF"/>
                  <w:noWrap w:val="0"/>
                  <w:vAlign w:val="center"/>
                </w:tcPr>
                <w:p>
                  <w:pPr>
                    <w:adjustRightInd/>
                    <w:snapToGrid/>
                    <w:spacing w:after="0"/>
                    <w:jc w:val="center"/>
                    <w:rPr>
                      <w:rFonts w:hint="eastAsia" w:ascii="宋体" w:hAnsi="宋体" w:cs="宋体"/>
                      <w:sz w:val="18"/>
                      <w:szCs w:val="18"/>
                    </w:rPr>
                  </w:pPr>
                </w:p>
              </w:tc>
              <w:tc>
                <w:tcPr>
                  <w:tcW w:w="1045" w:type="dxa"/>
                  <w:shd w:val="clear" w:color="000000" w:fill="FFFFFF"/>
                  <w:noWrap w:val="0"/>
                  <w:vAlign w:val="center"/>
                </w:tcPr>
                <w:p>
                  <w:pPr>
                    <w:adjustRightInd/>
                    <w:snapToGrid/>
                    <w:spacing w:after="0"/>
                    <w:jc w:val="center"/>
                    <w:rPr>
                      <w:rFonts w:hint="eastAsia" w:ascii="宋体" w:hAnsi="宋体" w:cs="宋体"/>
                      <w:sz w:val="18"/>
                      <w:szCs w:val="18"/>
                    </w:rPr>
                  </w:pPr>
                  <w:r>
                    <w:rPr>
                      <w:rFonts w:ascii="宋体" w:hAnsi="宋体" w:cs="宋体"/>
                      <w:sz w:val="18"/>
                      <w:szCs w:val="18"/>
                    </w:rPr>
                    <w:t>100</w:t>
                  </w:r>
                </w:p>
              </w:tc>
              <w:tc>
                <w:tcPr>
                  <w:tcW w:w="1305"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手工</w:t>
                  </w:r>
                </w:p>
              </w:tc>
              <w:tc>
                <w:tcPr>
                  <w:tcW w:w="1260"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1次/季度</w:t>
                  </w:r>
                </w:p>
              </w:tc>
              <w:tc>
                <w:tcPr>
                  <w:tcW w:w="3150"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 xml:space="preserve">《水质 石油类和动植物油类的测定 红外分光光度法》 </w:t>
                  </w:r>
                </w:p>
                <w:p>
                  <w:pPr>
                    <w:adjustRightInd/>
                    <w:snapToGrid/>
                    <w:spacing w:after="0"/>
                    <w:jc w:val="center"/>
                    <w:rPr>
                      <w:rFonts w:hint="eastAsia" w:ascii="宋体" w:hAnsi="宋体" w:cs="宋体"/>
                      <w:sz w:val="18"/>
                      <w:szCs w:val="18"/>
                    </w:rPr>
                  </w:pPr>
                  <w:r>
                    <w:rPr>
                      <w:rFonts w:ascii="宋体" w:hAnsi="宋体" w:cs="宋体"/>
                      <w:sz w:val="18"/>
                      <w:szCs w:val="18"/>
                    </w:rPr>
                    <w:t>HJ 637-2012</w:t>
                  </w:r>
                </w:p>
              </w:tc>
              <w:tc>
                <w:tcPr>
                  <w:tcW w:w="1185" w:type="dxa"/>
                  <w:vMerge w:val="continue"/>
                  <w:noWrap w:val="0"/>
                  <w:vAlign w:val="center"/>
                </w:tcPr>
                <w:p>
                  <w:pPr>
                    <w:adjustRightInd/>
                    <w:snapToGrid/>
                    <w:spacing w:after="0"/>
                    <w:jc w:val="center"/>
                    <w:rPr>
                      <w:rFonts w:hint="eastAsia" w:ascii="宋体" w:hAnsi="宋体" w:cs="宋体"/>
                      <w:sz w:val="18"/>
                      <w:szCs w:val="18"/>
                    </w:rPr>
                  </w:pPr>
                </w:p>
              </w:tc>
              <w:tc>
                <w:tcPr>
                  <w:tcW w:w="2971"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满足污水综合排放标准，同时满足污水处理厂进水要求。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8" w:hRule="exact"/>
              </w:trPr>
              <w:tc>
                <w:tcPr>
                  <w:tcW w:w="784" w:type="dxa"/>
                  <w:shd w:val="clear" w:color="auto" w:fill="auto"/>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废水</w:t>
                  </w:r>
                </w:p>
              </w:tc>
              <w:tc>
                <w:tcPr>
                  <w:tcW w:w="1025" w:type="dxa"/>
                  <w:shd w:val="clear" w:color="auto" w:fill="auto"/>
                  <w:noWrap w:val="0"/>
                  <w:vAlign w:val="center"/>
                </w:tcPr>
                <w:p>
                  <w:pPr>
                    <w:adjustRightInd/>
                    <w:snapToGrid/>
                    <w:spacing w:after="0"/>
                    <w:jc w:val="center"/>
                    <w:rPr>
                      <w:rFonts w:hint="eastAsia" w:ascii="宋体" w:hAnsi="宋体" w:eastAsia="宋体" w:cs="宋体"/>
                      <w:sz w:val="18"/>
                      <w:szCs w:val="18"/>
                      <w:lang w:val="en-US" w:eastAsia="zh-CN"/>
                    </w:rPr>
                  </w:pPr>
                  <w:r>
                    <w:rPr>
                      <w:rFonts w:hint="eastAsia" w:ascii="宋体" w:hAnsi="宋体" w:cs="宋体"/>
                      <w:sz w:val="18"/>
                      <w:szCs w:val="18"/>
                    </w:rPr>
                    <w:t>含镍生产车间废水排放口WS-0000</w:t>
                  </w:r>
                  <w:r>
                    <w:rPr>
                      <w:rFonts w:hint="eastAsia" w:ascii="宋体" w:hAnsi="宋体" w:cs="宋体"/>
                      <w:sz w:val="18"/>
                      <w:szCs w:val="18"/>
                      <w:lang w:val="en-US" w:eastAsia="zh-CN"/>
                    </w:rPr>
                    <w:t>2</w:t>
                  </w:r>
                </w:p>
              </w:tc>
              <w:tc>
                <w:tcPr>
                  <w:tcW w:w="1136" w:type="dxa"/>
                  <w:shd w:val="clear" w:color="000000" w:fill="FFFFFF"/>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总镍</w:t>
                  </w:r>
                </w:p>
              </w:tc>
              <w:tc>
                <w:tcPr>
                  <w:tcW w:w="1132" w:type="dxa"/>
                  <w:shd w:val="clear" w:color="000000" w:fill="FFFFFF"/>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《电镀污染物排放标准》</w:t>
                  </w:r>
                </w:p>
                <w:p>
                  <w:pPr>
                    <w:adjustRightInd/>
                    <w:snapToGrid/>
                    <w:spacing w:after="0"/>
                    <w:jc w:val="center"/>
                    <w:rPr>
                      <w:rFonts w:hint="eastAsia" w:ascii="宋体" w:hAnsi="宋体" w:cs="宋体"/>
                      <w:sz w:val="18"/>
                      <w:szCs w:val="18"/>
                    </w:rPr>
                  </w:pPr>
                  <w:r>
                    <w:rPr>
                      <w:rFonts w:ascii="宋体" w:hAnsi="宋体" w:cs="宋体"/>
                      <w:sz w:val="18"/>
                      <w:szCs w:val="18"/>
                    </w:rPr>
                    <w:t>GB21900-2008</w:t>
                  </w:r>
                </w:p>
              </w:tc>
              <w:tc>
                <w:tcPr>
                  <w:tcW w:w="1045" w:type="dxa"/>
                  <w:shd w:val="clear" w:color="000000" w:fill="FFFFFF"/>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0.5</w:t>
                  </w:r>
                </w:p>
              </w:tc>
              <w:tc>
                <w:tcPr>
                  <w:tcW w:w="1305"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手工</w:t>
                  </w:r>
                </w:p>
              </w:tc>
              <w:tc>
                <w:tcPr>
                  <w:tcW w:w="1260"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1次/日</w:t>
                  </w:r>
                </w:p>
              </w:tc>
              <w:tc>
                <w:tcPr>
                  <w:tcW w:w="3150"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《水质 镍的测定 火焰原子吸收分光光度法》</w:t>
                  </w:r>
                  <w:r>
                    <w:rPr>
                      <w:rFonts w:ascii="宋体" w:hAnsi="宋体" w:cs="宋体"/>
                      <w:sz w:val="18"/>
                      <w:szCs w:val="18"/>
                    </w:rPr>
                    <w:t>GB 11912-89</w:t>
                  </w:r>
                </w:p>
              </w:tc>
              <w:tc>
                <w:tcPr>
                  <w:tcW w:w="1185" w:type="dxa"/>
                  <w:noWrap w:val="0"/>
                  <w:vAlign w:val="center"/>
                </w:tcPr>
                <w:p>
                  <w:pPr>
                    <w:adjustRightInd/>
                    <w:snapToGrid/>
                    <w:spacing w:after="0"/>
                    <w:jc w:val="center"/>
                    <w:rPr>
                      <w:rFonts w:ascii="宋体" w:hAnsi="宋体" w:cs="宋体"/>
                      <w:sz w:val="18"/>
                      <w:szCs w:val="18"/>
                    </w:rPr>
                  </w:pPr>
                  <w:r>
                    <w:rPr>
                      <w:rFonts w:hint="eastAsia" w:ascii="宋体" w:hAnsi="宋体" w:cs="宋体"/>
                      <w:sz w:val="18"/>
                      <w:szCs w:val="18"/>
                    </w:rPr>
                    <w:t>瞬时采样 至少3个瞬时样</w:t>
                  </w:r>
                </w:p>
                <w:p>
                  <w:pPr>
                    <w:spacing w:after="0"/>
                    <w:jc w:val="center"/>
                    <w:rPr>
                      <w:rFonts w:hint="eastAsia" w:ascii="宋体" w:hAnsi="宋体" w:cs="宋体"/>
                      <w:sz w:val="18"/>
                      <w:szCs w:val="18"/>
                    </w:rPr>
                  </w:pPr>
                </w:p>
              </w:tc>
              <w:tc>
                <w:tcPr>
                  <w:tcW w:w="2971"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w:t>
                  </w:r>
                </w:p>
              </w:tc>
            </w:tr>
          </w:tbl>
          <w:p>
            <w:pPr>
              <w:pStyle w:val="40"/>
              <w:tabs>
                <w:tab w:val="left" w:pos="3990"/>
              </w:tabs>
              <w:ind w:firstLine="0" w:firstLineChars="0"/>
              <w:rPr>
                <w:rFonts w:hint="eastAsia" w:ascii="宋体" w:hAnsi="宋体" w:cs="宋体"/>
                <w:b/>
                <w:sz w:val="18"/>
                <w:szCs w:val="18"/>
              </w:rPr>
            </w:pPr>
          </w:p>
          <w:p>
            <w:pPr>
              <w:pStyle w:val="40"/>
              <w:tabs>
                <w:tab w:val="left" w:pos="3990"/>
              </w:tabs>
              <w:ind w:firstLine="0" w:firstLineChars="0"/>
              <w:rPr>
                <w:rFonts w:hint="eastAsia" w:ascii="宋体" w:hAnsi="宋体" w:cs="宋体"/>
                <w:b/>
                <w:sz w:val="18"/>
                <w:szCs w:val="18"/>
              </w:rPr>
            </w:pPr>
            <w:r>
              <w:rPr>
                <w:rFonts w:hint="eastAsia" w:ascii="宋体" w:hAnsi="宋体" w:cs="宋体"/>
                <w:b/>
                <w:sz w:val="18"/>
                <w:szCs w:val="18"/>
              </w:rPr>
              <w:t>3.2</w:t>
            </w:r>
            <w:r>
              <w:rPr>
                <w:rFonts w:hint="eastAsia" w:ascii="宋体" w:hAnsi="宋体" w:cs="宋体"/>
                <w:sz w:val="18"/>
                <w:szCs w:val="18"/>
              </w:rPr>
              <w:t>有组织废气监测项目、点位、频次及方法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100"/>
              <w:gridCol w:w="1090"/>
              <w:gridCol w:w="2907"/>
              <w:gridCol w:w="1138"/>
              <w:gridCol w:w="681"/>
              <w:gridCol w:w="839"/>
              <w:gridCol w:w="3253"/>
              <w:gridCol w:w="930"/>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701" w:type="dxa"/>
                  <w:shd w:val="clear" w:color="000000" w:fill="FFFFFF"/>
                  <w:noWrap w:val="0"/>
                  <w:vAlign w:val="center"/>
                </w:tcPr>
                <w:p>
                  <w:pPr>
                    <w:adjustRightInd/>
                    <w:snapToGrid/>
                    <w:spacing w:after="0"/>
                    <w:jc w:val="center"/>
                    <w:rPr>
                      <w:rFonts w:hint="eastAsia" w:ascii="宋体" w:hAnsi="宋体" w:cs="宋体"/>
                      <w:color w:val="333333"/>
                      <w:sz w:val="18"/>
                      <w:szCs w:val="18"/>
                    </w:rPr>
                  </w:pPr>
                  <w:r>
                    <w:rPr>
                      <w:rFonts w:hint="eastAsia" w:ascii="宋体" w:hAnsi="宋体" w:cs="宋体"/>
                      <w:color w:val="333333"/>
                      <w:sz w:val="18"/>
                      <w:szCs w:val="18"/>
                    </w:rPr>
                    <w:t>排放形式</w:t>
                  </w:r>
                </w:p>
              </w:tc>
              <w:tc>
                <w:tcPr>
                  <w:tcW w:w="1100" w:type="dxa"/>
                  <w:shd w:val="clear" w:color="000000" w:fill="FFFFFF"/>
                  <w:noWrap w:val="0"/>
                  <w:vAlign w:val="center"/>
                </w:tcPr>
                <w:p>
                  <w:pPr>
                    <w:adjustRightInd/>
                    <w:snapToGrid/>
                    <w:spacing w:after="0"/>
                    <w:jc w:val="center"/>
                    <w:rPr>
                      <w:rFonts w:hint="eastAsia" w:ascii="宋体" w:hAnsi="宋体" w:cs="宋体"/>
                      <w:vanish/>
                      <w:sz w:val="18"/>
                      <w:szCs w:val="18"/>
                    </w:rPr>
                  </w:pPr>
                  <w:r>
                    <w:rPr>
                      <w:rFonts w:hint="eastAsia" w:ascii="宋体" w:hAnsi="宋体" w:cs="宋体"/>
                      <w:color w:val="333333"/>
                      <w:sz w:val="18"/>
                      <w:szCs w:val="18"/>
                    </w:rPr>
                    <w:t>监测点位及排放口编号</w:t>
                  </w:r>
                </w:p>
              </w:tc>
              <w:tc>
                <w:tcPr>
                  <w:tcW w:w="1090" w:type="dxa"/>
                  <w:shd w:val="clear" w:color="000000" w:fill="FFFFFF"/>
                  <w:noWrap w:val="0"/>
                  <w:vAlign w:val="center"/>
                </w:tcPr>
                <w:p>
                  <w:pPr>
                    <w:adjustRightInd/>
                    <w:snapToGrid/>
                    <w:spacing w:after="0"/>
                    <w:jc w:val="center"/>
                    <w:rPr>
                      <w:rFonts w:hint="eastAsia" w:ascii="宋体" w:hAnsi="宋体" w:cs="宋体"/>
                      <w:color w:val="333333"/>
                      <w:sz w:val="18"/>
                      <w:szCs w:val="18"/>
                    </w:rPr>
                  </w:pPr>
                  <w:r>
                    <w:rPr>
                      <w:rFonts w:hint="eastAsia" w:ascii="宋体" w:hAnsi="宋体" w:cs="宋体"/>
                      <w:color w:val="333333"/>
                      <w:sz w:val="18"/>
                      <w:szCs w:val="18"/>
                    </w:rPr>
                    <w:t>监测指标</w:t>
                  </w:r>
                </w:p>
              </w:tc>
              <w:tc>
                <w:tcPr>
                  <w:tcW w:w="2907" w:type="dxa"/>
                  <w:shd w:val="clear" w:color="000000" w:fill="FFFFFF"/>
                  <w:noWrap w:val="0"/>
                  <w:vAlign w:val="center"/>
                </w:tcPr>
                <w:p>
                  <w:pPr>
                    <w:pStyle w:val="16"/>
                    <w:jc w:val="center"/>
                    <w:rPr>
                      <w:rFonts w:hint="eastAsia" w:ascii="宋体" w:hAnsi="宋体" w:eastAsia="宋体" w:cs="宋体"/>
                      <w:color w:val="auto"/>
                      <w:sz w:val="18"/>
                      <w:szCs w:val="18"/>
                    </w:rPr>
                  </w:pPr>
                </w:p>
                <w:p>
                  <w:pPr>
                    <w:pStyle w:val="16"/>
                    <w:jc w:val="center"/>
                    <w:rPr>
                      <w:rFonts w:hint="eastAsia" w:ascii="宋体" w:hAnsi="宋体" w:eastAsia="宋体" w:cs="宋体"/>
                      <w:color w:val="auto"/>
                      <w:sz w:val="18"/>
                      <w:szCs w:val="18"/>
                    </w:rPr>
                  </w:pPr>
                </w:p>
                <w:p>
                  <w:pPr>
                    <w:pStyle w:val="16"/>
                    <w:jc w:val="center"/>
                    <w:rPr>
                      <w:rFonts w:hint="eastAsia" w:ascii="宋体" w:hAnsi="宋体" w:eastAsia="宋体" w:cs="宋体"/>
                      <w:color w:val="auto"/>
                      <w:sz w:val="18"/>
                      <w:szCs w:val="18"/>
                    </w:rPr>
                  </w:pPr>
                  <w:r>
                    <w:rPr>
                      <w:rFonts w:hint="eastAsia" w:ascii="宋体" w:hAnsi="宋体" w:eastAsia="宋体" w:cs="宋体"/>
                      <w:color w:val="auto"/>
                      <w:sz w:val="18"/>
                      <w:szCs w:val="18"/>
                    </w:rPr>
                    <w:t>执 行 标 准</w:t>
                  </w:r>
                </w:p>
              </w:tc>
              <w:tc>
                <w:tcPr>
                  <w:tcW w:w="1138" w:type="dxa"/>
                  <w:shd w:val="clear" w:color="000000" w:fill="FFFFFF"/>
                  <w:noWrap w:val="0"/>
                  <w:vAlign w:val="center"/>
                </w:tcPr>
                <w:p>
                  <w:pPr>
                    <w:adjustRightInd/>
                    <w:snapToGrid/>
                    <w:spacing w:after="0"/>
                    <w:jc w:val="center"/>
                    <w:rPr>
                      <w:rFonts w:hint="eastAsia" w:ascii="宋体" w:hAnsi="宋体" w:cs="宋体"/>
                      <w:sz w:val="18"/>
                      <w:szCs w:val="18"/>
                    </w:rPr>
                  </w:pPr>
                </w:p>
                <w:p>
                  <w:pPr>
                    <w:adjustRightInd/>
                    <w:snapToGrid/>
                    <w:spacing w:after="0"/>
                    <w:jc w:val="center"/>
                    <w:rPr>
                      <w:rFonts w:hint="eastAsia" w:ascii="宋体" w:hAnsi="宋体" w:cs="宋体"/>
                      <w:sz w:val="18"/>
                      <w:szCs w:val="18"/>
                    </w:rPr>
                  </w:pPr>
                  <w:r>
                    <w:rPr>
                      <w:rFonts w:hint="eastAsia" w:ascii="宋体" w:hAnsi="宋体" w:cs="宋体"/>
                      <w:sz w:val="18"/>
                      <w:szCs w:val="18"/>
                    </w:rPr>
                    <w:t>许可排放限值</w:t>
                  </w:r>
                  <w:r>
                    <w:rPr>
                      <w:rFonts w:hint="eastAsia" w:ascii="宋体" w:hAnsi="宋体" w:cs="宋体"/>
                      <w:color w:val="333333"/>
                      <w:sz w:val="18"/>
                      <w:szCs w:val="18"/>
                    </w:rPr>
                    <w:t>mg/ m³</w:t>
                  </w:r>
                </w:p>
                <w:p>
                  <w:pPr>
                    <w:jc w:val="center"/>
                    <w:rPr>
                      <w:rFonts w:hint="eastAsia" w:ascii="宋体" w:hAnsi="宋体" w:cs="宋体"/>
                      <w:vanish/>
                      <w:sz w:val="18"/>
                      <w:szCs w:val="18"/>
                    </w:rPr>
                  </w:pPr>
                </w:p>
              </w:tc>
              <w:tc>
                <w:tcPr>
                  <w:tcW w:w="681" w:type="dxa"/>
                  <w:noWrap w:val="0"/>
                  <w:vAlign w:val="center"/>
                </w:tcPr>
                <w:p>
                  <w:pPr>
                    <w:pStyle w:val="16"/>
                    <w:jc w:val="center"/>
                    <w:rPr>
                      <w:rFonts w:hint="eastAsia" w:ascii="宋体" w:hAnsi="宋体" w:eastAsia="宋体" w:cs="宋体"/>
                      <w:sz w:val="18"/>
                      <w:szCs w:val="18"/>
                    </w:rPr>
                  </w:pPr>
                </w:p>
                <w:p>
                  <w:pPr>
                    <w:pStyle w:val="16"/>
                    <w:jc w:val="center"/>
                    <w:rPr>
                      <w:rFonts w:hint="eastAsia" w:ascii="宋体" w:hAnsi="宋体" w:eastAsia="宋体" w:cs="宋体"/>
                      <w:sz w:val="18"/>
                      <w:szCs w:val="18"/>
                    </w:rPr>
                  </w:pPr>
                </w:p>
                <w:p>
                  <w:pPr>
                    <w:adjustRightInd/>
                    <w:snapToGrid/>
                    <w:spacing w:after="0"/>
                    <w:jc w:val="center"/>
                    <w:rPr>
                      <w:rFonts w:hint="eastAsia" w:ascii="宋体" w:hAnsi="宋体" w:cs="宋体"/>
                      <w:sz w:val="18"/>
                      <w:szCs w:val="18"/>
                    </w:rPr>
                  </w:pPr>
                  <w:r>
                    <w:rPr>
                      <w:rFonts w:hint="eastAsia" w:ascii="宋体" w:hAnsi="宋体" w:cs="宋体"/>
                      <w:sz w:val="18"/>
                      <w:szCs w:val="18"/>
                    </w:rPr>
                    <w:t>监测方式</w:t>
                  </w:r>
                </w:p>
                <w:p>
                  <w:pPr>
                    <w:adjustRightInd/>
                    <w:snapToGrid/>
                    <w:spacing w:after="0"/>
                    <w:jc w:val="center"/>
                    <w:rPr>
                      <w:rFonts w:hint="eastAsia" w:ascii="宋体" w:hAnsi="宋体" w:cs="宋体"/>
                      <w:sz w:val="18"/>
                      <w:szCs w:val="18"/>
                    </w:rPr>
                  </w:pPr>
                </w:p>
              </w:tc>
              <w:tc>
                <w:tcPr>
                  <w:tcW w:w="839"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监测频次</w:t>
                  </w:r>
                </w:p>
              </w:tc>
              <w:tc>
                <w:tcPr>
                  <w:tcW w:w="3253" w:type="dxa"/>
                  <w:noWrap w:val="0"/>
                  <w:vAlign w:val="center"/>
                </w:tcPr>
                <w:p>
                  <w:pPr>
                    <w:adjustRightInd/>
                    <w:snapToGrid/>
                    <w:spacing w:after="0"/>
                    <w:jc w:val="center"/>
                    <w:rPr>
                      <w:rFonts w:hint="eastAsia" w:ascii="宋体" w:hAnsi="宋体" w:cs="宋体"/>
                      <w:sz w:val="18"/>
                      <w:szCs w:val="18"/>
                    </w:rPr>
                  </w:pPr>
                </w:p>
                <w:p>
                  <w:pPr>
                    <w:adjustRightInd/>
                    <w:snapToGrid/>
                    <w:spacing w:after="0"/>
                    <w:jc w:val="center"/>
                    <w:rPr>
                      <w:rFonts w:hint="eastAsia" w:ascii="宋体" w:hAnsi="宋体" w:cs="宋体"/>
                      <w:sz w:val="18"/>
                      <w:szCs w:val="18"/>
                    </w:rPr>
                  </w:pPr>
                  <w:r>
                    <w:rPr>
                      <w:rFonts w:hint="eastAsia" w:ascii="宋体" w:hAnsi="宋体" w:cs="宋体"/>
                      <w:sz w:val="18"/>
                      <w:szCs w:val="18"/>
                    </w:rPr>
                    <w:t>监测方法</w:t>
                  </w:r>
                </w:p>
                <w:p>
                  <w:pPr>
                    <w:adjustRightInd/>
                    <w:snapToGrid/>
                    <w:spacing w:after="0"/>
                    <w:jc w:val="center"/>
                    <w:rPr>
                      <w:rFonts w:hint="eastAsia" w:ascii="宋体" w:hAnsi="宋体" w:cs="宋体"/>
                      <w:sz w:val="18"/>
                      <w:szCs w:val="18"/>
                    </w:rPr>
                  </w:pPr>
                </w:p>
              </w:tc>
              <w:tc>
                <w:tcPr>
                  <w:tcW w:w="930" w:type="dxa"/>
                  <w:noWrap w:val="0"/>
                  <w:vAlign w:val="center"/>
                </w:tcPr>
                <w:p>
                  <w:pPr>
                    <w:pStyle w:val="16"/>
                    <w:jc w:val="center"/>
                    <w:rPr>
                      <w:rFonts w:hint="eastAsia" w:ascii="宋体" w:hAnsi="宋体" w:eastAsia="宋体" w:cs="宋体"/>
                      <w:sz w:val="21"/>
                      <w:szCs w:val="21"/>
                    </w:rPr>
                  </w:pPr>
                </w:p>
                <w:p>
                  <w:pPr>
                    <w:pStyle w:val="16"/>
                    <w:ind w:firstLine="105" w:firstLineChars="50"/>
                    <w:jc w:val="center"/>
                    <w:rPr>
                      <w:rFonts w:hint="eastAsia" w:ascii="宋体" w:hAnsi="宋体" w:eastAsia="宋体" w:cs="宋体"/>
                      <w:sz w:val="21"/>
                      <w:szCs w:val="21"/>
                    </w:rPr>
                  </w:pPr>
                  <w:r>
                    <w:rPr>
                      <w:rFonts w:hint="eastAsia" w:ascii="宋体" w:hAnsi="宋体" w:eastAsia="宋体" w:cs="宋体"/>
                      <w:sz w:val="21"/>
                      <w:szCs w:val="21"/>
                    </w:rPr>
                    <w:t>采样 方法</w:t>
                  </w:r>
                </w:p>
                <w:p>
                  <w:pPr>
                    <w:adjustRightInd/>
                    <w:snapToGrid/>
                    <w:spacing w:after="0"/>
                    <w:jc w:val="center"/>
                    <w:rPr>
                      <w:rFonts w:hint="eastAsia" w:ascii="宋体" w:hAnsi="宋体" w:cs="宋体"/>
                      <w:sz w:val="18"/>
                      <w:szCs w:val="18"/>
                    </w:rPr>
                  </w:pPr>
                </w:p>
              </w:tc>
              <w:tc>
                <w:tcPr>
                  <w:tcW w:w="1489" w:type="dxa"/>
                  <w:noWrap w:val="0"/>
                  <w:vAlign w:val="center"/>
                </w:tcPr>
                <w:p>
                  <w:pPr>
                    <w:pStyle w:val="16"/>
                    <w:rPr>
                      <w:rFonts w:hint="eastAsia" w:ascii="宋体" w:hAnsi="宋体" w:eastAsia="宋体" w:cs="宋体"/>
                      <w:sz w:val="21"/>
                      <w:szCs w:val="21"/>
                    </w:rPr>
                  </w:pPr>
                </w:p>
                <w:p>
                  <w:pPr>
                    <w:pStyle w:val="16"/>
                    <w:ind w:firstLine="105" w:firstLineChars="50"/>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701" w:type="dxa"/>
                  <w:shd w:val="clear" w:color="auto" w:fill="auto"/>
                  <w:noWrap w:val="0"/>
                  <w:vAlign w:val="center"/>
                </w:tcPr>
                <w:p>
                  <w:pPr>
                    <w:adjustRightInd/>
                    <w:snapToGrid/>
                    <w:spacing w:after="0"/>
                    <w:rPr>
                      <w:rFonts w:hint="eastAsia" w:ascii="宋体" w:hAnsi="宋体" w:eastAsia="宋体" w:cs="宋体"/>
                      <w:color w:val="333333"/>
                      <w:sz w:val="21"/>
                      <w:szCs w:val="21"/>
                      <w:lang w:val="en-US" w:eastAsia="zh-CN"/>
                    </w:rPr>
                  </w:pPr>
                </w:p>
              </w:tc>
              <w:tc>
                <w:tcPr>
                  <w:tcW w:w="1100" w:type="dxa"/>
                  <w:shd w:val="clear" w:color="auto" w:fill="auto"/>
                  <w:noWrap w:val="0"/>
                  <w:vAlign w:val="center"/>
                </w:tcPr>
                <w:p>
                  <w:pPr>
                    <w:adjustRightInd/>
                    <w:snapToGrid/>
                    <w:spacing w:after="0"/>
                    <w:rPr>
                      <w:rFonts w:hint="eastAsia" w:ascii="宋体" w:hAnsi="宋体" w:eastAsia="宋体" w:cs="宋体"/>
                      <w:color w:val="333333"/>
                      <w:sz w:val="21"/>
                      <w:szCs w:val="21"/>
                      <w:lang w:val="en-US" w:eastAsia="zh-CN"/>
                    </w:rPr>
                  </w:pPr>
                  <w:r>
                    <w:rPr>
                      <w:rFonts w:hint="eastAsia" w:ascii="宋体" w:hAnsi="宋体" w:cs="宋体"/>
                      <w:color w:val="333333"/>
                      <w:sz w:val="21"/>
                      <w:szCs w:val="21"/>
                      <w:lang w:val="en-US" w:eastAsia="zh-CN"/>
                    </w:rPr>
                    <w:t>FQ-0002、0003、</w:t>
                  </w:r>
                </w:p>
              </w:tc>
              <w:tc>
                <w:tcPr>
                  <w:tcW w:w="1090" w:type="dxa"/>
                  <w:shd w:val="clear" w:color="000000" w:fill="FFFFFF"/>
                  <w:noWrap w:val="0"/>
                  <w:vAlign w:val="center"/>
                </w:tcPr>
                <w:p>
                  <w:pPr>
                    <w:adjustRightInd/>
                    <w:snapToGrid/>
                    <w:spacing w:after="0"/>
                    <w:jc w:val="center"/>
                    <w:rPr>
                      <w:rFonts w:hint="eastAsia" w:ascii="宋体" w:hAnsi="宋体" w:cs="宋体"/>
                      <w:color w:val="333333"/>
                      <w:sz w:val="18"/>
                      <w:szCs w:val="18"/>
                    </w:rPr>
                  </w:pPr>
                  <w:r>
                    <w:rPr>
                      <w:rFonts w:hint="eastAsia" w:ascii="宋体" w:hAnsi="宋体" w:cs="宋体"/>
                      <w:color w:val="333333"/>
                      <w:sz w:val="18"/>
                      <w:szCs w:val="18"/>
                    </w:rPr>
                    <w:t>硫酸雾</w:t>
                  </w:r>
                </w:p>
              </w:tc>
              <w:tc>
                <w:tcPr>
                  <w:tcW w:w="2907" w:type="dxa"/>
                  <w:shd w:val="clear" w:color="000000" w:fill="FFFFFF"/>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rPr>
                    <w:t>电镀污染物排放标准》</w:t>
                  </w:r>
                </w:p>
                <w:p>
                  <w:pPr>
                    <w:adjustRightInd/>
                    <w:snapToGrid/>
                    <w:spacing w:after="0"/>
                    <w:jc w:val="center"/>
                    <w:rPr>
                      <w:rFonts w:hint="eastAsia" w:ascii="宋体" w:hAnsi="宋体" w:cs="宋体"/>
                      <w:color w:val="333333"/>
                      <w:sz w:val="21"/>
                      <w:szCs w:val="21"/>
                    </w:rPr>
                  </w:pPr>
                  <w:r>
                    <w:rPr>
                      <w:rFonts w:ascii="宋体" w:hAnsi="宋体" w:cs="宋体"/>
                      <w:sz w:val="18"/>
                      <w:szCs w:val="18"/>
                    </w:rPr>
                    <w:t>GB21900-2008</w:t>
                  </w:r>
                </w:p>
              </w:tc>
              <w:tc>
                <w:tcPr>
                  <w:tcW w:w="1138" w:type="dxa"/>
                  <w:shd w:val="clear" w:color="000000" w:fill="FFFFFF"/>
                  <w:noWrap w:val="0"/>
                  <w:vAlign w:val="center"/>
                </w:tcPr>
                <w:p>
                  <w:pPr>
                    <w:adjustRightInd/>
                    <w:snapToGrid/>
                    <w:spacing w:after="0"/>
                    <w:jc w:val="center"/>
                    <w:rPr>
                      <w:rFonts w:hint="eastAsia" w:ascii="宋体" w:hAnsi="宋体" w:cs="宋体"/>
                      <w:color w:val="333333"/>
                      <w:sz w:val="18"/>
                      <w:szCs w:val="18"/>
                    </w:rPr>
                  </w:pPr>
                  <w:r>
                    <w:rPr>
                      <w:rFonts w:hint="eastAsia" w:ascii="宋体" w:hAnsi="宋体" w:cs="宋体"/>
                      <w:color w:val="333333"/>
                      <w:sz w:val="18"/>
                      <w:szCs w:val="18"/>
                    </w:rPr>
                    <w:t>30</w:t>
                  </w:r>
                </w:p>
              </w:tc>
              <w:tc>
                <w:tcPr>
                  <w:tcW w:w="681"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手工</w:t>
                  </w:r>
                </w:p>
              </w:tc>
              <w:tc>
                <w:tcPr>
                  <w:tcW w:w="839"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1次/半年</w:t>
                  </w:r>
                </w:p>
              </w:tc>
              <w:tc>
                <w:tcPr>
                  <w:tcW w:w="3253"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《固定污染源废气 硫酸雾的测定 离子色谱法》</w:t>
                  </w:r>
                  <w:r>
                    <w:rPr>
                      <w:rFonts w:ascii="宋体" w:hAnsi="宋体" w:cs="宋体"/>
                      <w:sz w:val="18"/>
                      <w:szCs w:val="18"/>
                    </w:rPr>
                    <w:t>HJ 544-2016</w:t>
                  </w:r>
                </w:p>
              </w:tc>
              <w:tc>
                <w:tcPr>
                  <w:tcW w:w="930" w:type="dxa"/>
                  <w:noWrap w:val="0"/>
                  <w:vAlign w:val="top"/>
                </w:tcPr>
                <w:p>
                  <w:pPr>
                    <w:adjustRightInd/>
                    <w:snapToGrid/>
                    <w:spacing w:after="0"/>
                    <w:jc w:val="center"/>
                    <w:rPr>
                      <w:rFonts w:ascii="宋体" w:hAnsi="宋体" w:cs="宋体"/>
                      <w:sz w:val="18"/>
                      <w:szCs w:val="18"/>
                    </w:rPr>
                  </w:pPr>
                </w:p>
              </w:tc>
              <w:tc>
                <w:tcPr>
                  <w:tcW w:w="1489"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701" w:type="dxa"/>
                  <w:shd w:val="clear" w:color="auto" w:fill="auto"/>
                  <w:noWrap w:val="0"/>
                  <w:vAlign w:val="center"/>
                </w:tcPr>
                <w:p>
                  <w:pPr>
                    <w:adjustRightInd/>
                    <w:snapToGrid/>
                    <w:spacing w:after="0"/>
                    <w:rPr>
                      <w:rFonts w:hint="eastAsia" w:ascii="宋体" w:hAnsi="宋体" w:cs="宋体"/>
                      <w:color w:val="333333"/>
                      <w:sz w:val="21"/>
                      <w:szCs w:val="21"/>
                      <w:lang w:val="en-US" w:eastAsia="zh-CN"/>
                    </w:rPr>
                  </w:pPr>
                </w:p>
              </w:tc>
              <w:tc>
                <w:tcPr>
                  <w:tcW w:w="1100" w:type="dxa"/>
                  <w:shd w:val="clear" w:color="auto" w:fill="auto"/>
                  <w:noWrap w:val="0"/>
                  <w:vAlign w:val="center"/>
                </w:tcPr>
                <w:p>
                  <w:pPr>
                    <w:adjustRightInd/>
                    <w:snapToGrid/>
                    <w:spacing w:after="0"/>
                    <w:rPr>
                      <w:rFonts w:hint="eastAsia" w:ascii="宋体" w:hAnsi="宋体" w:cs="宋体"/>
                      <w:color w:val="333333"/>
                      <w:sz w:val="21"/>
                      <w:szCs w:val="21"/>
                      <w:lang w:val="en-US" w:eastAsia="zh-CN"/>
                    </w:rPr>
                  </w:pPr>
                  <w:r>
                    <w:rPr>
                      <w:rFonts w:hint="eastAsia" w:ascii="宋体" w:hAnsi="宋体" w:cs="宋体"/>
                      <w:color w:val="333333"/>
                      <w:sz w:val="21"/>
                      <w:szCs w:val="21"/>
                      <w:lang w:val="en-US" w:eastAsia="zh-CN"/>
                    </w:rPr>
                    <w:t>FQ-0001</w:t>
                  </w:r>
                </w:p>
              </w:tc>
              <w:tc>
                <w:tcPr>
                  <w:tcW w:w="1090" w:type="dxa"/>
                  <w:shd w:val="clear" w:color="000000" w:fill="FFFFFF"/>
                  <w:noWrap w:val="0"/>
                  <w:vAlign w:val="center"/>
                </w:tcPr>
                <w:p>
                  <w:pPr>
                    <w:adjustRightInd/>
                    <w:snapToGrid/>
                    <w:spacing w:after="0"/>
                    <w:jc w:val="center"/>
                    <w:rPr>
                      <w:rFonts w:hint="eastAsia" w:ascii="宋体" w:hAnsi="宋体" w:eastAsia="宋体" w:cs="宋体"/>
                      <w:color w:val="333333"/>
                      <w:sz w:val="18"/>
                      <w:szCs w:val="18"/>
                      <w:lang w:val="en-US" w:eastAsia="zh-CN"/>
                    </w:rPr>
                  </w:pPr>
                  <w:r>
                    <w:rPr>
                      <w:rFonts w:hint="eastAsia" w:ascii="宋体" w:hAnsi="宋体" w:cs="宋体"/>
                      <w:color w:val="333333"/>
                      <w:sz w:val="18"/>
                      <w:szCs w:val="18"/>
                      <w:lang w:val="en-US" w:eastAsia="zh-CN"/>
                    </w:rPr>
                    <w:t>挥发性有机物</w:t>
                  </w:r>
                </w:p>
              </w:tc>
              <w:tc>
                <w:tcPr>
                  <w:tcW w:w="2907" w:type="dxa"/>
                  <w:shd w:val="clear" w:color="000000" w:fill="FFFFFF"/>
                  <w:noWrap w:val="0"/>
                  <w:vAlign w:val="center"/>
                </w:tcPr>
                <w:p>
                  <w:pPr>
                    <w:adjustRightInd/>
                    <w:snapToGrid/>
                    <w:spacing w:after="0"/>
                    <w:jc w:val="center"/>
                    <w:rPr>
                      <w:rFonts w:hint="eastAsia" w:ascii="宋体" w:hAnsi="宋体" w:eastAsia="宋体" w:cs="宋体"/>
                      <w:color w:val="333333"/>
                      <w:sz w:val="21"/>
                      <w:szCs w:val="21"/>
                      <w:lang w:val="en-US" w:eastAsia="zh-CN"/>
                    </w:rPr>
                  </w:pPr>
                  <w:r>
                    <w:rPr>
                      <w:rFonts w:ascii="Arial" w:hAnsi="Arial" w:eastAsia="宋体" w:cs="Arial"/>
                      <w:b w:val="0"/>
                      <w:i w:val="0"/>
                      <w:caps w:val="0"/>
                      <w:color w:val="333333"/>
                      <w:spacing w:val="0"/>
                      <w:sz w:val="21"/>
                      <w:szCs w:val="21"/>
                      <w:shd w:val="clear" w:color="auto" w:fill="FFFFFF"/>
                    </w:rPr>
                    <w:t>《工业企业挥发性有机物排放控制标准》DB13/2322-2016</w:t>
                  </w:r>
                </w:p>
              </w:tc>
              <w:tc>
                <w:tcPr>
                  <w:tcW w:w="1138" w:type="dxa"/>
                  <w:shd w:val="clear" w:color="000000" w:fill="FFFFFF"/>
                  <w:noWrap w:val="0"/>
                  <w:vAlign w:val="center"/>
                </w:tcPr>
                <w:p>
                  <w:pPr>
                    <w:adjustRightInd/>
                    <w:snapToGrid/>
                    <w:spacing w:after="0"/>
                    <w:jc w:val="center"/>
                    <w:rPr>
                      <w:rFonts w:hint="default" w:ascii="宋体" w:hAnsi="宋体" w:eastAsia="宋体" w:cs="宋体"/>
                      <w:color w:val="333333"/>
                      <w:sz w:val="18"/>
                      <w:szCs w:val="18"/>
                      <w:lang w:val="en-US" w:eastAsia="zh-CN"/>
                    </w:rPr>
                  </w:pPr>
                  <w:r>
                    <w:rPr>
                      <w:rFonts w:hint="eastAsia" w:ascii="宋体" w:hAnsi="宋体" w:cs="宋体"/>
                      <w:color w:val="333333"/>
                      <w:sz w:val="18"/>
                      <w:szCs w:val="18"/>
                      <w:lang w:val="en-US" w:eastAsia="zh-CN"/>
                    </w:rPr>
                    <w:t>80</w:t>
                  </w:r>
                </w:p>
              </w:tc>
              <w:tc>
                <w:tcPr>
                  <w:tcW w:w="681" w:type="dxa"/>
                  <w:noWrap w:val="0"/>
                  <w:vAlign w:val="center"/>
                </w:tcPr>
                <w:p>
                  <w:pPr>
                    <w:adjustRightInd/>
                    <w:snapToGrid/>
                    <w:spacing w:after="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手工</w:t>
                  </w:r>
                </w:p>
              </w:tc>
              <w:tc>
                <w:tcPr>
                  <w:tcW w:w="839" w:type="dxa"/>
                  <w:noWrap w:val="0"/>
                  <w:vAlign w:val="center"/>
                </w:tcPr>
                <w:p>
                  <w:pPr>
                    <w:adjustRightInd/>
                    <w:snapToGrid/>
                    <w:spacing w:after="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1次/半年</w:t>
                  </w:r>
                </w:p>
              </w:tc>
              <w:tc>
                <w:tcPr>
                  <w:tcW w:w="3253" w:type="dxa"/>
                  <w:noWrap w:val="0"/>
                  <w:vAlign w:val="center"/>
                </w:tcPr>
                <w:p>
                  <w:pPr>
                    <w:adjustRightInd/>
                    <w:snapToGrid/>
                    <w:spacing w:after="0"/>
                    <w:jc w:val="center"/>
                    <w:rPr>
                      <w:rFonts w:hint="eastAsia" w:ascii="宋体" w:hAnsi="宋体" w:cs="宋体"/>
                      <w:sz w:val="18"/>
                      <w:szCs w:val="18"/>
                    </w:rPr>
                  </w:pPr>
                </w:p>
              </w:tc>
              <w:tc>
                <w:tcPr>
                  <w:tcW w:w="930" w:type="dxa"/>
                  <w:noWrap w:val="0"/>
                  <w:vAlign w:val="top"/>
                </w:tcPr>
                <w:p>
                  <w:pPr>
                    <w:adjustRightInd/>
                    <w:snapToGrid/>
                    <w:spacing w:after="0"/>
                    <w:jc w:val="center"/>
                    <w:rPr>
                      <w:rFonts w:ascii="宋体" w:hAnsi="宋体" w:cs="宋体"/>
                      <w:sz w:val="18"/>
                      <w:szCs w:val="18"/>
                    </w:rPr>
                  </w:pPr>
                </w:p>
              </w:tc>
              <w:tc>
                <w:tcPr>
                  <w:tcW w:w="1489" w:type="dxa"/>
                  <w:noWrap w:val="0"/>
                  <w:vAlign w:val="center"/>
                </w:tcPr>
                <w:p>
                  <w:pPr>
                    <w:adjustRightInd/>
                    <w:snapToGrid/>
                    <w:spacing w:after="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r>
          </w:tbl>
          <w:p>
            <w:pPr>
              <w:pStyle w:val="40"/>
              <w:ind w:firstLine="0" w:firstLineChars="0"/>
              <w:rPr>
                <w:rFonts w:hint="eastAsia" w:ascii="宋体" w:hAnsi="宋体" w:cs="宋体"/>
                <w:b/>
                <w:sz w:val="23"/>
                <w:szCs w:val="23"/>
              </w:rPr>
            </w:pPr>
          </w:p>
          <w:p>
            <w:pPr>
              <w:pStyle w:val="40"/>
              <w:ind w:firstLine="0" w:firstLineChars="0"/>
              <w:rPr>
                <w:rFonts w:hint="eastAsia" w:ascii="宋体" w:hAnsi="宋体" w:cs="宋体"/>
                <w:b/>
                <w:sz w:val="21"/>
                <w:szCs w:val="21"/>
              </w:rPr>
            </w:pPr>
            <w:r>
              <w:rPr>
                <w:rFonts w:hint="eastAsia" w:ascii="宋体" w:hAnsi="宋体" w:cs="宋体"/>
                <w:b/>
                <w:sz w:val="18"/>
                <w:szCs w:val="18"/>
              </w:rPr>
              <w:t>3.3</w:t>
            </w:r>
            <w:r>
              <w:rPr>
                <w:rFonts w:hint="eastAsia" w:ascii="宋体" w:hAnsi="宋体" w:cs="宋体"/>
                <w:sz w:val="18"/>
                <w:szCs w:val="18"/>
              </w:rPr>
              <w:t>无组织废气及噪声监测项目、点位、频次及方法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167"/>
              <w:gridCol w:w="1284"/>
              <w:gridCol w:w="3253"/>
              <w:gridCol w:w="1274"/>
              <w:gridCol w:w="762"/>
              <w:gridCol w:w="1082"/>
              <w:gridCol w:w="3497"/>
              <w:gridCol w:w="1041"/>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784" w:type="dxa"/>
                  <w:shd w:val="clear" w:color="000000" w:fill="FFFFFF"/>
                  <w:noWrap w:val="0"/>
                  <w:vAlign w:val="center"/>
                </w:tcPr>
                <w:p>
                  <w:pPr>
                    <w:adjustRightInd/>
                    <w:snapToGrid/>
                    <w:spacing w:after="0"/>
                    <w:jc w:val="center"/>
                    <w:rPr>
                      <w:rFonts w:hint="eastAsia" w:ascii="宋体" w:hAnsi="宋体" w:cs="宋体"/>
                      <w:color w:val="333333"/>
                      <w:sz w:val="18"/>
                      <w:szCs w:val="18"/>
                    </w:rPr>
                  </w:pPr>
                  <w:r>
                    <w:rPr>
                      <w:rFonts w:hint="eastAsia" w:ascii="宋体" w:hAnsi="宋体" w:cs="宋体"/>
                      <w:color w:val="333333"/>
                      <w:sz w:val="18"/>
                      <w:szCs w:val="18"/>
                    </w:rPr>
                    <w:t>排放形式</w:t>
                  </w:r>
                </w:p>
              </w:tc>
              <w:tc>
                <w:tcPr>
                  <w:tcW w:w="1167" w:type="dxa"/>
                  <w:shd w:val="clear" w:color="000000" w:fill="FFFFFF"/>
                  <w:noWrap w:val="0"/>
                  <w:vAlign w:val="center"/>
                </w:tcPr>
                <w:p>
                  <w:pPr>
                    <w:adjustRightInd/>
                    <w:snapToGrid/>
                    <w:spacing w:after="0"/>
                    <w:jc w:val="center"/>
                    <w:rPr>
                      <w:rFonts w:hint="eastAsia" w:ascii="宋体" w:hAnsi="宋体" w:cs="宋体"/>
                      <w:vanish/>
                      <w:sz w:val="18"/>
                      <w:szCs w:val="18"/>
                    </w:rPr>
                  </w:pPr>
                  <w:r>
                    <w:rPr>
                      <w:rFonts w:hint="eastAsia" w:ascii="宋体" w:hAnsi="宋体" w:cs="宋体"/>
                      <w:color w:val="333333"/>
                      <w:sz w:val="18"/>
                      <w:szCs w:val="18"/>
                    </w:rPr>
                    <w:t>监测点位及排放口编号</w:t>
                  </w:r>
                </w:p>
              </w:tc>
              <w:tc>
                <w:tcPr>
                  <w:tcW w:w="1284" w:type="dxa"/>
                  <w:shd w:val="clear" w:color="000000" w:fill="FFFFFF"/>
                  <w:noWrap w:val="0"/>
                  <w:vAlign w:val="center"/>
                </w:tcPr>
                <w:p>
                  <w:pPr>
                    <w:adjustRightInd/>
                    <w:snapToGrid/>
                    <w:spacing w:after="0"/>
                    <w:jc w:val="center"/>
                    <w:rPr>
                      <w:rFonts w:hint="eastAsia" w:ascii="宋体" w:hAnsi="宋体" w:cs="宋体"/>
                      <w:color w:val="333333"/>
                      <w:sz w:val="18"/>
                      <w:szCs w:val="18"/>
                    </w:rPr>
                  </w:pPr>
                  <w:r>
                    <w:rPr>
                      <w:rFonts w:hint="eastAsia" w:ascii="宋体" w:hAnsi="宋体" w:cs="宋体"/>
                      <w:color w:val="333333"/>
                      <w:sz w:val="18"/>
                      <w:szCs w:val="18"/>
                    </w:rPr>
                    <w:t>监测指标</w:t>
                  </w:r>
                </w:p>
              </w:tc>
              <w:tc>
                <w:tcPr>
                  <w:tcW w:w="3253" w:type="dxa"/>
                  <w:shd w:val="clear" w:color="000000" w:fill="FFFFFF"/>
                  <w:noWrap w:val="0"/>
                  <w:vAlign w:val="center"/>
                </w:tcPr>
                <w:p>
                  <w:pPr>
                    <w:pStyle w:val="16"/>
                    <w:jc w:val="center"/>
                    <w:rPr>
                      <w:rFonts w:hint="eastAsia" w:ascii="宋体" w:hAnsi="宋体" w:eastAsia="宋体" w:cs="宋体"/>
                      <w:color w:val="auto"/>
                      <w:sz w:val="18"/>
                      <w:szCs w:val="18"/>
                    </w:rPr>
                  </w:pPr>
                </w:p>
                <w:p>
                  <w:pPr>
                    <w:pStyle w:val="16"/>
                    <w:jc w:val="center"/>
                    <w:rPr>
                      <w:rFonts w:hint="eastAsia" w:ascii="宋体" w:hAnsi="宋体" w:eastAsia="宋体" w:cs="宋体"/>
                      <w:color w:val="auto"/>
                      <w:sz w:val="18"/>
                      <w:szCs w:val="18"/>
                    </w:rPr>
                  </w:pPr>
                </w:p>
                <w:p>
                  <w:pPr>
                    <w:pStyle w:val="16"/>
                    <w:jc w:val="center"/>
                    <w:rPr>
                      <w:rFonts w:hint="eastAsia" w:ascii="宋体" w:hAnsi="宋体" w:eastAsia="宋体" w:cs="宋体"/>
                      <w:color w:val="auto"/>
                      <w:sz w:val="18"/>
                      <w:szCs w:val="18"/>
                    </w:rPr>
                  </w:pPr>
                  <w:r>
                    <w:rPr>
                      <w:rFonts w:hint="eastAsia" w:ascii="宋体" w:hAnsi="宋体" w:eastAsia="宋体" w:cs="宋体"/>
                      <w:color w:val="auto"/>
                      <w:sz w:val="18"/>
                      <w:szCs w:val="18"/>
                    </w:rPr>
                    <w:t>执 行 标 准</w:t>
                  </w:r>
                </w:p>
              </w:tc>
              <w:tc>
                <w:tcPr>
                  <w:tcW w:w="1274" w:type="dxa"/>
                  <w:shd w:val="clear" w:color="000000" w:fill="FFFFFF"/>
                  <w:noWrap w:val="0"/>
                  <w:vAlign w:val="center"/>
                </w:tcPr>
                <w:p>
                  <w:pPr>
                    <w:adjustRightInd/>
                    <w:snapToGrid/>
                    <w:spacing w:after="0"/>
                    <w:jc w:val="center"/>
                    <w:rPr>
                      <w:rFonts w:hint="eastAsia" w:ascii="宋体" w:hAnsi="宋体" w:cs="宋体"/>
                      <w:sz w:val="18"/>
                      <w:szCs w:val="18"/>
                    </w:rPr>
                  </w:pPr>
                </w:p>
                <w:p>
                  <w:pPr>
                    <w:adjustRightInd/>
                    <w:snapToGrid/>
                    <w:spacing w:after="0"/>
                    <w:jc w:val="center"/>
                    <w:rPr>
                      <w:rFonts w:hint="eastAsia" w:ascii="宋体" w:hAnsi="宋体" w:cs="宋体"/>
                      <w:sz w:val="18"/>
                      <w:szCs w:val="18"/>
                    </w:rPr>
                  </w:pPr>
                  <w:r>
                    <w:rPr>
                      <w:rFonts w:hint="eastAsia" w:ascii="宋体" w:hAnsi="宋体" w:cs="宋体"/>
                      <w:sz w:val="18"/>
                      <w:szCs w:val="18"/>
                    </w:rPr>
                    <w:t>许可排放限值</w:t>
                  </w:r>
                  <w:r>
                    <w:rPr>
                      <w:rFonts w:hint="eastAsia" w:ascii="宋体" w:hAnsi="宋体" w:cs="宋体"/>
                      <w:color w:val="333333"/>
                      <w:sz w:val="18"/>
                      <w:szCs w:val="18"/>
                    </w:rPr>
                    <w:t>mg/N m³</w:t>
                  </w:r>
                </w:p>
                <w:p>
                  <w:pPr>
                    <w:jc w:val="center"/>
                    <w:rPr>
                      <w:rFonts w:hint="eastAsia" w:ascii="宋体" w:hAnsi="宋体" w:cs="宋体"/>
                      <w:vanish/>
                      <w:sz w:val="18"/>
                      <w:szCs w:val="18"/>
                    </w:rPr>
                  </w:pPr>
                </w:p>
              </w:tc>
              <w:tc>
                <w:tcPr>
                  <w:tcW w:w="762" w:type="dxa"/>
                  <w:noWrap w:val="0"/>
                  <w:vAlign w:val="center"/>
                </w:tcPr>
                <w:p>
                  <w:pPr>
                    <w:pStyle w:val="16"/>
                    <w:rPr>
                      <w:rFonts w:hint="eastAsia" w:ascii="宋体" w:hAnsi="宋体" w:eastAsia="宋体" w:cs="宋体"/>
                      <w:sz w:val="18"/>
                      <w:szCs w:val="18"/>
                    </w:rPr>
                  </w:pPr>
                </w:p>
                <w:p>
                  <w:pPr>
                    <w:adjustRightInd/>
                    <w:snapToGrid/>
                    <w:spacing w:after="0"/>
                    <w:jc w:val="center"/>
                    <w:rPr>
                      <w:rFonts w:hint="eastAsia" w:ascii="宋体" w:hAnsi="宋体" w:cs="宋体"/>
                      <w:sz w:val="18"/>
                      <w:szCs w:val="18"/>
                    </w:rPr>
                  </w:pPr>
                  <w:r>
                    <w:rPr>
                      <w:rFonts w:hint="eastAsia" w:ascii="宋体" w:hAnsi="宋体" w:cs="宋体"/>
                      <w:sz w:val="18"/>
                      <w:szCs w:val="18"/>
                    </w:rPr>
                    <w:t>监测方式</w:t>
                  </w:r>
                </w:p>
                <w:p>
                  <w:pPr>
                    <w:adjustRightInd/>
                    <w:snapToGrid/>
                    <w:spacing w:after="0"/>
                    <w:jc w:val="center"/>
                    <w:rPr>
                      <w:rFonts w:hint="eastAsia" w:ascii="宋体" w:hAnsi="宋体" w:cs="宋体"/>
                      <w:sz w:val="18"/>
                      <w:szCs w:val="18"/>
                    </w:rPr>
                  </w:pPr>
                </w:p>
              </w:tc>
              <w:tc>
                <w:tcPr>
                  <w:tcW w:w="1082"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监测频次</w:t>
                  </w:r>
                </w:p>
              </w:tc>
              <w:tc>
                <w:tcPr>
                  <w:tcW w:w="3497" w:type="dxa"/>
                  <w:noWrap w:val="0"/>
                  <w:vAlign w:val="center"/>
                </w:tcPr>
                <w:p>
                  <w:pPr>
                    <w:adjustRightInd/>
                    <w:snapToGrid/>
                    <w:spacing w:after="0"/>
                    <w:jc w:val="center"/>
                    <w:rPr>
                      <w:rFonts w:hint="eastAsia" w:ascii="宋体" w:hAnsi="宋体" w:cs="宋体"/>
                      <w:sz w:val="18"/>
                      <w:szCs w:val="18"/>
                    </w:rPr>
                  </w:pPr>
                </w:p>
                <w:p>
                  <w:pPr>
                    <w:adjustRightInd/>
                    <w:snapToGrid/>
                    <w:spacing w:after="0"/>
                    <w:jc w:val="center"/>
                    <w:rPr>
                      <w:rFonts w:hint="eastAsia" w:ascii="宋体" w:hAnsi="宋体" w:cs="宋体"/>
                      <w:sz w:val="18"/>
                      <w:szCs w:val="18"/>
                    </w:rPr>
                  </w:pPr>
                  <w:r>
                    <w:rPr>
                      <w:rFonts w:hint="eastAsia" w:ascii="宋体" w:hAnsi="宋体" w:cs="宋体"/>
                      <w:sz w:val="18"/>
                      <w:szCs w:val="18"/>
                    </w:rPr>
                    <w:t>监测方法</w:t>
                  </w:r>
                </w:p>
                <w:p>
                  <w:pPr>
                    <w:adjustRightInd/>
                    <w:snapToGrid/>
                    <w:spacing w:after="0"/>
                    <w:jc w:val="center"/>
                    <w:rPr>
                      <w:rFonts w:hint="eastAsia" w:ascii="宋体" w:hAnsi="宋体" w:cs="宋体"/>
                      <w:sz w:val="18"/>
                      <w:szCs w:val="18"/>
                    </w:rPr>
                  </w:pPr>
                </w:p>
              </w:tc>
              <w:tc>
                <w:tcPr>
                  <w:tcW w:w="1041" w:type="dxa"/>
                  <w:noWrap w:val="0"/>
                  <w:vAlign w:val="center"/>
                </w:tcPr>
                <w:p>
                  <w:pPr>
                    <w:pStyle w:val="16"/>
                    <w:ind w:left="180" w:hanging="180" w:hangingChars="100"/>
                    <w:rPr>
                      <w:rFonts w:hint="eastAsia" w:ascii="宋体" w:hAnsi="宋体" w:eastAsia="宋体" w:cs="宋体"/>
                      <w:sz w:val="18"/>
                      <w:szCs w:val="18"/>
                    </w:rPr>
                  </w:pPr>
                  <w:r>
                    <w:rPr>
                      <w:rFonts w:hint="eastAsia" w:ascii="宋体" w:hAnsi="宋体" w:eastAsia="宋体" w:cs="宋体"/>
                      <w:sz w:val="18"/>
                      <w:szCs w:val="18"/>
                    </w:rPr>
                    <w:t>采样方法</w:t>
                  </w:r>
                </w:p>
                <w:p>
                  <w:pPr>
                    <w:adjustRightInd/>
                    <w:snapToGrid/>
                    <w:spacing w:after="0"/>
                    <w:jc w:val="center"/>
                    <w:rPr>
                      <w:rFonts w:hint="eastAsia" w:ascii="宋体" w:hAnsi="宋体" w:cs="宋体"/>
                      <w:sz w:val="18"/>
                      <w:szCs w:val="18"/>
                    </w:rPr>
                  </w:pPr>
                </w:p>
              </w:tc>
              <w:tc>
                <w:tcPr>
                  <w:tcW w:w="849" w:type="dxa"/>
                  <w:noWrap w:val="0"/>
                  <w:vAlign w:val="center"/>
                </w:tcPr>
                <w:p>
                  <w:pPr>
                    <w:adjustRightInd/>
                    <w:snapToGrid/>
                    <w:spacing w:after="0"/>
                    <w:jc w:val="center"/>
                    <w:rPr>
                      <w:rFonts w:hint="eastAsia" w:ascii="宋体" w:hAnsi="宋体" w:cs="宋体"/>
                      <w:sz w:val="18"/>
                      <w:szCs w:val="18"/>
                    </w:rPr>
                  </w:pPr>
                </w:p>
                <w:p>
                  <w:pPr>
                    <w:adjustRightInd/>
                    <w:snapToGrid/>
                    <w:spacing w:after="0"/>
                    <w:jc w:val="center"/>
                    <w:rPr>
                      <w:rFonts w:hint="eastAsia" w:ascii="宋体" w:hAnsi="宋体" w:cs="宋体"/>
                      <w:sz w:val="18"/>
                      <w:szCs w:val="18"/>
                    </w:rPr>
                  </w:pPr>
                </w:p>
                <w:p>
                  <w:pPr>
                    <w:adjustRightInd/>
                    <w:snapToGrid/>
                    <w:spacing w:after="0"/>
                    <w:jc w:val="center"/>
                    <w:rPr>
                      <w:rFonts w:hint="eastAsia" w:ascii="宋体" w:hAnsi="宋体" w:cs="宋体"/>
                      <w:sz w:val="18"/>
                      <w:szCs w:val="18"/>
                    </w:rPr>
                  </w:pPr>
                  <w:r>
                    <w:rPr>
                      <w:rFonts w:hint="eastAsia" w:ascii="宋体" w:hAnsi="宋体" w:cs="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84" w:type="dxa"/>
                  <w:shd w:val="clear" w:color="000000" w:fill="FFFFFF"/>
                  <w:noWrap w:val="0"/>
                  <w:vAlign w:val="center"/>
                </w:tcPr>
                <w:p>
                  <w:pPr>
                    <w:adjustRightInd/>
                    <w:snapToGrid/>
                    <w:spacing w:after="0"/>
                    <w:rPr>
                      <w:rFonts w:hint="eastAsia" w:ascii="宋体" w:hAnsi="宋体" w:cs="宋体"/>
                      <w:color w:val="333333"/>
                      <w:sz w:val="18"/>
                      <w:szCs w:val="18"/>
                    </w:rPr>
                  </w:pPr>
                </w:p>
              </w:tc>
              <w:tc>
                <w:tcPr>
                  <w:tcW w:w="1167" w:type="dxa"/>
                  <w:shd w:val="clear" w:color="000000" w:fill="FFFFFF"/>
                  <w:noWrap w:val="0"/>
                  <w:vAlign w:val="center"/>
                </w:tcPr>
                <w:p>
                  <w:pPr>
                    <w:jc w:val="center"/>
                    <w:rPr>
                      <w:rFonts w:hint="eastAsia" w:ascii="宋体" w:hAnsi="宋体" w:cs="宋体"/>
                      <w:color w:val="333333"/>
                      <w:sz w:val="18"/>
                      <w:szCs w:val="18"/>
                    </w:rPr>
                  </w:pPr>
                </w:p>
              </w:tc>
              <w:tc>
                <w:tcPr>
                  <w:tcW w:w="1284" w:type="dxa"/>
                  <w:shd w:val="clear" w:color="000000" w:fill="FFFFFF"/>
                  <w:noWrap w:val="0"/>
                  <w:vAlign w:val="center"/>
                </w:tcPr>
                <w:p>
                  <w:pPr>
                    <w:adjustRightInd/>
                    <w:snapToGrid/>
                    <w:spacing w:after="0"/>
                    <w:ind w:firstLine="270" w:firstLineChars="150"/>
                    <w:rPr>
                      <w:rFonts w:hint="eastAsia" w:ascii="宋体" w:hAnsi="宋体" w:cs="宋体"/>
                      <w:color w:val="333333"/>
                      <w:sz w:val="18"/>
                      <w:szCs w:val="18"/>
                    </w:rPr>
                  </w:pPr>
                  <w:r>
                    <w:rPr>
                      <w:rFonts w:hint="eastAsia" w:ascii="宋体" w:hAnsi="宋体" w:cs="宋体"/>
                      <w:color w:val="333333"/>
                      <w:sz w:val="18"/>
                      <w:szCs w:val="18"/>
                    </w:rPr>
                    <w:t>硫酸雾</w:t>
                  </w:r>
                </w:p>
              </w:tc>
              <w:tc>
                <w:tcPr>
                  <w:tcW w:w="3253" w:type="dxa"/>
                  <w:shd w:val="clear" w:color="000000" w:fill="FFFFFF"/>
                  <w:noWrap w:val="0"/>
                  <w:vAlign w:val="center"/>
                </w:tcPr>
                <w:p>
                  <w:pPr>
                    <w:rPr>
                      <w:rFonts w:hint="eastAsia" w:ascii="宋体" w:hAnsi="宋体" w:cs="宋体"/>
                      <w:color w:val="333333"/>
                      <w:sz w:val="18"/>
                      <w:szCs w:val="18"/>
                    </w:rPr>
                  </w:pPr>
                </w:p>
              </w:tc>
              <w:tc>
                <w:tcPr>
                  <w:tcW w:w="1274" w:type="dxa"/>
                  <w:shd w:val="clear" w:color="000000" w:fill="FFFFFF"/>
                  <w:noWrap w:val="0"/>
                  <w:vAlign w:val="center"/>
                </w:tcPr>
                <w:p>
                  <w:pPr>
                    <w:adjustRightInd/>
                    <w:snapToGrid/>
                    <w:spacing w:after="0"/>
                    <w:ind w:firstLine="270" w:firstLineChars="150"/>
                    <w:jc w:val="center"/>
                    <w:rPr>
                      <w:rFonts w:hint="eastAsia" w:ascii="宋体" w:hAnsi="宋体" w:cs="宋体"/>
                      <w:color w:val="333333"/>
                      <w:sz w:val="18"/>
                      <w:szCs w:val="18"/>
                    </w:rPr>
                  </w:pPr>
                  <w:r>
                    <w:rPr>
                      <w:rFonts w:hint="eastAsia" w:ascii="宋体" w:hAnsi="宋体" w:cs="宋体"/>
                      <w:color w:val="333333"/>
                      <w:sz w:val="18"/>
                      <w:szCs w:val="18"/>
                    </w:rPr>
                    <w:t>1.2</w:t>
                  </w:r>
                </w:p>
              </w:tc>
              <w:tc>
                <w:tcPr>
                  <w:tcW w:w="762" w:type="dxa"/>
                  <w:noWrap w:val="0"/>
                  <w:vAlign w:val="top"/>
                </w:tcPr>
                <w:p>
                  <w:pPr>
                    <w:jc w:val="center"/>
                    <w:rPr>
                      <w:rFonts w:hint="eastAsia" w:ascii="宋体" w:hAnsi="宋体" w:cs="宋体"/>
                      <w:sz w:val="18"/>
                      <w:szCs w:val="18"/>
                    </w:rPr>
                  </w:pPr>
                </w:p>
              </w:tc>
              <w:tc>
                <w:tcPr>
                  <w:tcW w:w="1082" w:type="dxa"/>
                  <w:noWrap w:val="0"/>
                  <w:vAlign w:val="center"/>
                </w:tcPr>
                <w:p>
                  <w:pPr>
                    <w:jc w:val="center"/>
                    <w:rPr>
                      <w:rFonts w:hint="eastAsia" w:ascii="宋体" w:hAnsi="宋体" w:cs="宋体"/>
                      <w:sz w:val="18"/>
                      <w:szCs w:val="18"/>
                    </w:rPr>
                  </w:pPr>
                  <w:r>
                    <w:rPr>
                      <w:rFonts w:hint="eastAsia" w:ascii="宋体" w:hAnsi="宋体" w:cs="宋体"/>
                      <w:sz w:val="18"/>
                      <w:szCs w:val="18"/>
                    </w:rPr>
                    <w:t>1次/年</w:t>
                  </w:r>
                </w:p>
              </w:tc>
              <w:tc>
                <w:tcPr>
                  <w:tcW w:w="3497" w:type="dxa"/>
                  <w:noWrap w:val="0"/>
                  <w:vAlign w:val="center"/>
                </w:tcPr>
                <w:p>
                  <w:pPr>
                    <w:adjustRightInd/>
                    <w:snapToGrid/>
                    <w:spacing w:after="0"/>
                    <w:rPr>
                      <w:rFonts w:hint="eastAsia" w:ascii="宋体" w:hAnsi="宋体" w:cs="宋体"/>
                      <w:sz w:val="18"/>
                      <w:szCs w:val="18"/>
                    </w:rPr>
                  </w:pPr>
                  <w:r>
                    <w:rPr>
                      <w:rFonts w:hint="eastAsia" w:ascii="宋体" w:hAnsi="宋体" w:cs="宋体"/>
                      <w:sz w:val="18"/>
                      <w:szCs w:val="18"/>
                    </w:rPr>
                    <w:t>《固定污染源废气 硫酸雾的测定 离子色谱法》</w:t>
                  </w:r>
                  <w:r>
                    <w:rPr>
                      <w:rFonts w:ascii="宋体" w:hAnsi="宋体" w:cs="宋体"/>
                      <w:sz w:val="18"/>
                      <w:szCs w:val="18"/>
                    </w:rPr>
                    <w:t>HJ 544-2016</w:t>
                  </w:r>
                </w:p>
              </w:tc>
              <w:tc>
                <w:tcPr>
                  <w:tcW w:w="1041" w:type="dxa"/>
                  <w:noWrap w:val="0"/>
                  <w:vAlign w:val="top"/>
                </w:tcPr>
                <w:p>
                  <w:pPr>
                    <w:adjustRightInd/>
                    <w:snapToGrid/>
                    <w:spacing w:after="0"/>
                    <w:rPr>
                      <w:rFonts w:hint="eastAsia" w:ascii="宋体" w:hAnsi="宋体" w:cs="宋体"/>
                      <w:sz w:val="18"/>
                      <w:szCs w:val="18"/>
                    </w:rPr>
                  </w:pPr>
                </w:p>
              </w:tc>
              <w:tc>
                <w:tcPr>
                  <w:tcW w:w="849" w:type="dxa"/>
                  <w:noWrap w:val="0"/>
                  <w:vAlign w:val="top"/>
                </w:tcPr>
                <w:p>
                  <w:pPr>
                    <w:adjustRightInd/>
                    <w:snapToGrid/>
                    <w:spacing w:after="0"/>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784" w:type="dxa"/>
                  <w:shd w:val="clear" w:color="000000" w:fill="FFFFFF"/>
                  <w:noWrap w:val="0"/>
                  <w:vAlign w:val="center"/>
                </w:tcPr>
                <w:p>
                  <w:pPr>
                    <w:adjustRightInd/>
                    <w:snapToGrid/>
                    <w:spacing w:after="0"/>
                    <w:rPr>
                      <w:rFonts w:hint="eastAsia" w:ascii="宋体" w:hAnsi="宋体" w:cs="宋体"/>
                      <w:b/>
                      <w:color w:val="333333"/>
                      <w:sz w:val="18"/>
                      <w:szCs w:val="18"/>
                    </w:rPr>
                  </w:pPr>
                </w:p>
                <w:p>
                  <w:pPr>
                    <w:adjustRightInd/>
                    <w:snapToGrid/>
                    <w:spacing w:after="0"/>
                    <w:rPr>
                      <w:rFonts w:hint="eastAsia" w:ascii="宋体" w:hAnsi="宋体" w:cs="宋体"/>
                      <w:b/>
                      <w:color w:val="333333"/>
                      <w:sz w:val="18"/>
                      <w:szCs w:val="18"/>
                    </w:rPr>
                  </w:pPr>
                  <w:r>
                    <w:rPr>
                      <w:rFonts w:hint="eastAsia" w:ascii="宋体" w:hAnsi="宋体" w:cs="宋体"/>
                      <w:b/>
                      <w:color w:val="333333"/>
                      <w:sz w:val="18"/>
                      <w:szCs w:val="18"/>
                    </w:rPr>
                    <w:t>噪声</w:t>
                  </w:r>
                </w:p>
              </w:tc>
              <w:tc>
                <w:tcPr>
                  <w:tcW w:w="1167" w:type="dxa"/>
                  <w:shd w:val="clear" w:color="000000" w:fill="FFFFFF"/>
                  <w:noWrap w:val="0"/>
                  <w:vAlign w:val="center"/>
                </w:tcPr>
                <w:p>
                  <w:pPr>
                    <w:adjustRightInd/>
                    <w:snapToGrid/>
                    <w:spacing w:after="0"/>
                    <w:jc w:val="center"/>
                    <w:rPr>
                      <w:rFonts w:hint="eastAsia" w:ascii="宋体" w:hAnsi="宋体" w:cs="宋体"/>
                      <w:color w:val="333333"/>
                      <w:sz w:val="18"/>
                      <w:szCs w:val="18"/>
                    </w:rPr>
                  </w:pPr>
                  <w:r>
                    <w:rPr>
                      <w:rFonts w:hint="eastAsia" w:ascii="宋体" w:hAnsi="宋体" w:cs="宋体"/>
                      <w:color w:val="333333"/>
                      <w:sz w:val="18"/>
                      <w:szCs w:val="18"/>
                    </w:rPr>
                    <w:t>厂界四周</w:t>
                  </w:r>
                </w:p>
              </w:tc>
              <w:tc>
                <w:tcPr>
                  <w:tcW w:w="1284" w:type="dxa"/>
                  <w:shd w:val="clear" w:color="000000" w:fill="FFFFFF"/>
                  <w:noWrap w:val="0"/>
                  <w:vAlign w:val="center"/>
                </w:tcPr>
                <w:p>
                  <w:pPr>
                    <w:adjustRightInd/>
                    <w:snapToGrid/>
                    <w:spacing w:after="0"/>
                    <w:rPr>
                      <w:rFonts w:hint="eastAsia" w:ascii="宋体" w:hAnsi="宋体" w:cs="宋体"/>
                      <w:color w:val="333333"/>
                      <w:sz w:val="18"/>
                      <w:szCs w:val="18"/>
                    </w:rPr>
                  </w:pPr>
                  <w:r>
                    <w:rPr>
                      <w:rFonts w:hint="eastAsia" w:ascii="宋体" w:hAnsi="宋体" w:cs="宋体"/>
                      <w:color w:val="333333"/>
                      <w:sz w:val="18"/>
                      <w:szCs w:val="18"/>
                    </w:rPr>
                    <w:t>昼间噪声(厂界)</w:t>
                  </w:r>
                </w:p>
              </w:tc>
              <w:tc>
                <w:tcPr>
                  <w:tcW w:w="3253" w:type="dxa"/>
                  <w:shd w:val="clear" w:color="000000" w:fill="FFFFFF"/>
                  <w:noWrap w:val="0"/>
                  <w:vAlign w:val="center"/>
                </w:tcPr>
                <w:p>
                  <w:pPr>
                    <w:adjustRightInd/>
                    <w:snapToGrid/>
                    <w:spacing w:after="0"/>
                    <w:rPr>
                      <w:rFonts w:hint="eastAsia" w:ascii="宋体" w:hAnsi="宋体" w:cs="宋体"/>
                      <w:color w:val="333333"/>
                      <w:sz w:val="18"/>
                      <w:szCs w:val="18"/>
                    </w:rPr>
                  </w:pPr>
                  <w:r>
                    <w:rPr>
                      <w:rFonts w:hint="eastAsia" w:ascii="宋体" w:hAnsi="宋体" w:cs="宋体"/>
                      <w:color w:val="333333"/>
                      <w:sz w:val="18"/>
                      <w:szCs w:val="18"/>
                    </w:rPr>
                    <w:t>《工业企业厂界环境噪声排放标准》(GB12348-2008)3类</w:t>
                  </w:r>
                </w:p>
              </w:tc>
              <w:tc>
                <w:tcPr>
                  <w:tcW w:w="1274" w:type="dxa"/>
                  <w:shd w:val="clear" w:color="000000" w:fill="FFFFFF"/>
                  <w:noWrap w:val="0"/>
                  <w:vAlign w:val="center"/>
                </w:tcPr>
                <w:p>
                  <w:pPr>
                    <w:pStyle w:val="16"/>
                    <w:jc w:val="center"/>
                    <w:rPr>
                      <w:rFonts w:hint="eastAsia" w:ascii="宋体" w:hAnsi="宋体" w:eastAsia="宋体" w:cs="宋体"/>
                      <w:color w:val="333333"/>
                      <w:sz w:val="18"/>
                      <w:szCs w:val="18"/>
                    </w:rPr>
                  </w:pPr>
                </w:p>
                <w:p>
                  <w:pPr>
                    <w:pStyle w:val="16"/>
                    <w:jc w:val="center"/>
                    <w:rPr>
                      <w:rFonts w:hint="eastAsia" w:ascii="宋体" w:hAnsi="宋体" w:eastAsia="宋体" w:cs="宋体"/>
                      <w:sz w:val="18"/>
                      <w:szCs w:val="18"/>
                    </w:rPr>
                  </w:pPr>
                  <w:r>
                    <w:rPr>
                      <w:rFonts w:hint="eastAsia" w:ascii="宋体" w:hAnsi="宋体" w:eastAsia="宋体" w:cs="宋体"/>
                      <w:color w:val="333333"/>
                      <w:sz w:val="18"/>
                      <w:szCs w:val="18"/>
                    </w:rPr>
                    <w:t xml:space="preserve">日间65dB(A) </w:t>
                  </w:r>
                </w:p>
                <w:p>
                  <w:pPr>
                    <w:adjustRightInd/>
                    <w:snapToGrid/>
                    <w:spacing w:after="0"/>
                    <w:jc w:val="center"/>
                    <w:rPr>
                      <w:rFonts w:hint="eastAsia" w:ascii="宋体" w:hAnsi="宋体" w:cs="宋体"/>
                      <w:color w:val="333333"/>
                      <w:sz w:val="18"/>
                      <w:szCs w:val="18"/>
                    </w:rPr>
                  </w:pPr>
                  <w:r>
                    <w:rPr>
                      <w:rFonts w:hint="eastAsia" w:ascii="宋体" w:hAnsi="宋体" w:cs="宋体"/>
                      <w:color w:val="333333"/>
                      <w:sz w:val="18"/>
                      <w:szCs w:val="18"/>
                    </w:rPr>
                    <w:t>夜间55db(A)</w:t>
                  </w:r>
                </w:p>
              </w:tc>
              <w:tc>
                <w:tcPr>
                  <w:tcW w:w="762" w:type="dxa"/>
                  <w:noWrap w:val="0"/>
                  <w:vAlign w:val="center"/>
                </w:tcPr>
                <w:p>
                  <w:pPr>
                    <w:adjustRightInd/>
                    <w:snapToGrid/>
                    <w:spacing w:after="0"/>
                    <w:jc w:val="center"/>
                    <w:rPr>
                      <w:rFonts w:hint="eastAsia" w:ascii="宋体" w:hAnsi="宋体" w:cs="宋体"/>
                      <w:sz w:val="18"/>
                      <w:szCs w:val="18"/>
                    </w:rPr>
                  </w:pPr>
                </w:p>
                <w:p>
                  <w:pPr>
                    <w:adjustRightInd/>
                    <w:snapToGrid/>
                    <w:spacing w:after="0"/>
                    <w:jc w:val="center"/>
                    <w:rPr>
                      <w:rFonts w:hint="eastAsia" w:ascii="宋体" w:hAnsi="宋体" w:cs="宋体"/>
                      <w:sz w:val="18"/>
                      <w:szCs w:val="18"/>
                    </w:rPr>
                  </w:pPr>
                  <w:r>
                    <w:rPr>
                      <w:rFonts w:hint="eastAsia" w:ascii="宋体" w:hAnsi="宋体" w:cs="宋体"/>
                      <w:sz w:val="18"/>
                      <w:szCs w:val="18"/>
                    </w:rPr>
                    <w:t>手工</w:t>
                  </w:r>
                </w:p>
              </w:tc>
              <w:tc>
                <w:tcPr>
                  <w:tcW w:w="1082" w:type="dxa"/>
                  <w:noWrap w:val="0"/>
                  <w:vAlign w:val="center"/>
                </w:tcPr>
                <w:p>
                  <w:pPr>
                    <w:pStyle w:val="16"/>
                    <w:jc w:val="center"/>
                    <w:rPr>
                      <w:rFonts w:hint="eastAsia" w:ascii="宋体" w:hAnsi="宋体" w:eastAsia="宋体" w:cs="宋体"/>
                      <w:sz w:val="18"/>
                      <w:szCs w:val="18"/>
                    </w:rPr>
                  </w:pPr>
                  <w:r>
                    <w:rPr>
                      <w:rFonts w:hint="eastAsia" w:ascii="宋体" w:hAnsi="宋体" w:eastAsia="宋体" w:cs="宋体"/>
                      <w:sz w:val="18"/>
                      <w:szCs w:val="18"/>
                    </w:rPr>
                    <w:t>1次/季度</w:t>
                  </w:r>
                </w:p>
                <w:p>
                  <w:pPr>
                    <w:pStyle w:val="16"/>
                    <w:jc w:val="center"/>
                    <w:rPr>
                      <w:rFonts w:hint="eastAsia" w:ascii="宋体" w:hAnsi="宋体" w:eastAsia="宋体" w:cs="宋体"/>
                      <w:sz w:val="18"/>
                      <w:szCs w:val="18"/>
                    </w:rPr>
                  </w:pPr>
                  <w:r>
                    <w:rPr>
                      <w:rFonts w:hint="eastAsia" w:ascii="宋体" w:hAnsi="宋体" w:eastAsia="宋体" w:cs="宋体"/>
                      <w:sz w:val="18"/>
                      <w:szCs w:val="18"/>
                    </w:rPr>
                    <w:t>(昼间、夜间各一次)</w:t>
                  </w:r>
                </w:p>
                <w:p>
                  <w:pPr>
                    <w:spacing w:after="0"/>
                    <w:jc w:val="center"/>
                    <w:rPr>
                      <w:rFonts w:hint="eastAsia" w:ascii="宋体" w:hAnsi="宋体" w:cs="宋体"/>
                      <w:sz w:val="18"/>
                      <w:szCs w:val="18"/>
                    </w:rPr>
                  </w:pPr>
                </w:p>
              </w:tc>
              <w:tc>
                <w:tcPr>
                  <w:tcW w:w="3497" w:type="dxa"/>
                  <w:noWrap w:val="0"/>
                  <w:vAlign w:val="center"/>
                </w:tcPr>
                <w:p>
                  <w:pPr>
                    <w:pStyle w:val="16"/>
                    <w:ind w:left="540" w:hanging="540" w:hangingChars="300"/>
                    <w:rPr>
                      <w:rFonts w:hint="eastAsia" w:ascii="宋体" w:hAnsi="宋体" w:eastAsia="宋体" w:cs="宋体"/>
                      <w:sz w:val="18"/>
                      <w:szCs w:val="18"/>
                    </w:rPr>
                  </w:pPr>
                  <w:r>
                    <w:rPr>
                      <w:rFonts w:hint="eastAsia" w:ascii="宋体" w:hAnsi="宋体" w:eastAsia="宋体" w:cs="宋体"/>
                      <w:sz w:val="18"/>
                      <w:szCs w:val="18"/>
                    </w:rPr>
                    <w:t xml:space="preserve">《工业企业厂界环境噪声排放标准》GB12348-2008 </w:t>
                  </w:r>
                </w:p>
                <w:p>
                  <w:pPr>
                    <w:pStyle w:val="16"/>
                    <w:ind w:firstLine="900" w:firstLineChars="500"/>
                    <w:rPr>
                      <w:rFonts w:hint="eastAsia" w:ascii="宋体" w:hAnsi="宋体" w:eastAsia="宋体" w:cs="宋体"/>
                      <w:sz w:val="18"/>
                      <w:szCs w:val="18"/>
                    </w:rPr>
                  </w:pPr>
                </w:p>
              </w:tc>
              <w:tc>
                <w:tcPr>
                  <w:tcW w:w="1041"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w:t>
                  </w:r>
                </w:p>
              </w:tc>
              <w:tc>
                <w:tcPr>
                  <w:tcW w:w="849" w:type="dxa"/>
                  <w:noWrap w:val="0"/>
                  <w:vAlign w:val="center"/>
                </w:tcPr>
                <w:p>
                  <w:pPr>
                    <w:adjustRightInd/>
                    <w:snapToGrid/>
                    <w:spacing w:after="0"/>
                    <w:jc w:val="center"/>
                    <w:rPr>
                      <w:rFonts w:hint="eastAsia" w:ascii="宋体" w:hAnsi="宋体" w:cs="宋体"/>
                      <w:sz w:val="18"/>
                      <w:szCs w:val="18"/>
                    </w:rPr>
                  </w:pPr>
                  <w:r>
                    <w:rPr>
                      <w:rFonts w:hint="eastAsia" w:ascii="宋体" w:hAnsi="宋体" w:cs="宋体"/>
                      <w:sz w:val="18"/>
                      <w:szCs w:val="18"/>
                    </w:rPr>
                    <w:t>/</w:t>
                  </w:r>
                </w:p>
              </w:tc>
            </w:tr>
          </w:tbl>
          <w:p>
            <w:pPr>
              <w:spacing w:line="360" w:lineRule="auto"/>
              <w:rPr>
                <w:rFonts w:hint="eastAsia" w:ascii="宋体" w:hAnsi="宋体" w:cs="宋体"/>
                <w:b/>
                <w:sz w:val="24"/>
              </w:rPr>
            </w:pPr>
            <w:r>
              <w:rPr>
                <w:rFonts w:hint="eastAsia" w:ascii="宋体" w:hAnsi="宋体" w:cs="宋体"/>
                <w:b/>
                <w:sz w:val="24"/>
              </w:rPr>
              <w:t>3.4监测点位图</w:t>
            </w:r>
          </w:p>
          <w:p>
            <w:pPr>
              <w:spacing w:line="360" w:lineRule="auto"/>
              <w:rPr>
                <w:rFonts w:hint="eastAsia" w:ascii="宋体" w:hAnsi="宋体" w:cs="宋体"/>
                <w:b/>
                <w:sz w:val="24"/>
              </w:rPr>
            </w:pPr>
          </w:p>
          <w:p>
            <w:pPr>
              <w:spacing w:line="276" w:lineRule="auto"/>
              <w:rPr>
                <w:rFonts w:hint="eastAsia" w:ascii="宋体" w:hAnsi="宋体" w:eastAsia="宋体" w:cs="宋体"/>
                <w:b/>
                <w:sz w:val="24"/>
                <w:lang w:eastAsia="zh-CN"/>
              </w:rPr>
            </w:pPr>
            <w:r>
              <w:rPr>
                <w:rFonts w:hint="eastAsia" w:ascii="宋体" w:hAnsi="宋体" w:eastAsia="宋体" w:cs="宋体"/>
                <w:b/>
                <w:sz w:val="24"/>
                <w:lang w:eastAsia="zh-CN"/>
              </w:rPr>
              <w:drawing>
                <wp:inline distT="0" distB="0" distL="114300" distR="114300">
                  <wp:extent cx="5989320" cy="5064125"/>
                  <wp:effectExtent l="0" t="0" r="11430" b="3175"/>
                  <wp:docPr id="1" name="图片 1" descr="高碑店市京泽压铸厂监测点位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高碑店市京泽压铸厂监测点位示意图"/>
                          <pic:cNvPicPr>
                            <a:picLocks noChangeAspect="1"/>
                          </pic:cNvPicPr>
                        </pic:nvPicPr>
                        <pic:blipFill>
                          <a:blip r:embed="rId10"/>
                          <a:stretch>
                            <a:fillRect/>
                          </a:stretch>
                        </pic:blipFill>
                        <pic:spPr>
                          <a:xfrm>
                            <a:off x="0" y="0"/>
                            <a:ext cx="5989320" cy="5064125"/>
                          </a:xfrm>
                          <a:prstGeom prst="rect">
                            <a:avLst/>
                          </a:prstGeom>
                          <a:noFill/>
                          <a:ln>
                            <a:noFill/>
                          </a:ln>
                        </pic:spPr>
                      </pic:pic>
                    </a:graphicData>
                  </a:graphic>
                </wp:inline>
              </w:drawing>
            </w:r>
          </w:p>
          <w:p>
            <w:pPr>
              <w:spacing w:line="276" w:lineRule="auto"/>
              <w:rPr>
                <w:rFonts w:hint="eastAsia" w:ascii="宋体" w:hAnsi="宋体" w:cs="宋体"/>
                <w:b/>
                <w:sz w:val="24"/>
              </w:rPr>
            </w:pPr>
            <w:r>
              <w:rPr>
                <w:rFonts w:hint="eastAsia" w:ascii="宋体" w:hAnsi="宋体" w:cs="宋体"/>
                <w:b/>
                <w:sz w:val="24"/>
              </w:rPr>
              <w:t>4.监测质量保证和质量控制要求</w:t>
            </w:r>
          </w:p>
          <w:p>
            <w:pPr>
              <w:spacing w:line="276" w:lineRule="auto"/>
              <w:rPr>
                <w:rFonts w:hint="eastAsia" w:ascii="宋体" w:hAnsi="宋体" w:cs="宋体"/>
                <w:spacing w:val="18"/>
                <w:sz w:val="24"/>
                <w:szCs w:val="24"/>
              </w:rPr>
            </w:pPr>
            <w:r>
              <w:rPr>
                <w:rFonts w:hint="eastAsia" w:ascii="宋体" w:hAnsi="宋体" w:cs="宋体"/>
                <w:spacing w:val="18"/>
                <w:sz w:val="24"/>
                <w:szCs w:val="24"/>
              </w:rPr>
              <w:t>4.1公司所有监测项目均委托有资质的第三方检测机构进行检测。</w:t>
            </w:r>
          </w:p>
          <w:p>
            <w:pPr>
              <w:spacing w:line="276" w:lineRule="auto"/>
              <w:rPr>
                <w:rFonts w:hint="eastAsia" w:ascii="宋体" w:hAnsi="宋体" w:cs="宋体"/>
                <w:spacing w:val="18"/>
                <w:sz w:val="24"/>
                <w:szCs w:val="24"/>
              </w:rPr>
            </w:pPr>
            <w:r>
              <w:rPr>
                <w:rFonts w:hint="eastAsia" w:ascii="宋体" w:hAnsi="宋体" w:cs="宋体"/>
                <w:spacing w:val="18"/>
                <w:sz w:val="24"/>
                <w:szCs w:val="24"/>
              </w:rPr>
              <w:t>4.2按照《排污许可证申请与核发技术规范 电镀工业》（HJ855-2017）、《排污单位自行监测技术指南  总则》（HJ819-2017）、《排污许可管理办法（试行）》（环境保护部令第48号）等要求制定年度自行监测方案。</w:t>
            </w:r>
          </w:p>
          <w:p>
            <w:pPr>
              <w:spacing w:line="276" w:lineRule="auto"/>
              <w:rPr>
                <w:rFonts w:hint="eastAsia" w:ascii="宋体" w:hAnsi="宋体" w:cs="宋体"/>
                <w:spacing w:val="18"/>
                <w:sz w:val="24"/>
                <w:szCs w:val="24"/>
              </w:rPr>
            </w:pPr>
            <w:r>
              <w:rPr>
                <w:rFonts w:hint="eastAsia" w:ascii="宋体" w:hAnsi="宋体" w:cs="宋体"/>
                <w:spacing w:val="18"/>
                <w:sz w:val="24"/>
                <w:szCs w:val="24"/>
              </w:rPr>
              <w:t>4.3定期审验第三方检测资质并存档。</w:t>
            </w:r>
          </w:p>
          <w:p>
            <w:pPr>
              <w:spacing w:line="276" w:lineRule="auto"/>
              <w:rPr>
                <w:rFonts w:hint="eastAsia" w:ascii="宋体" w:hAnsi="宋体" w:cs="宋体"/>
                <w:spacing w:val="18"/>
                <w:sz w:val="24"/>
                <w:szCs w:val="24"/>
              </w:rPr>
            </w:pPr>
            <w:r>
              <w:rPr>
                <w:rFonts w:hint="eastAsia" w:ascii="宋体" w:hAnsi="宋体" w:cs="宋体"/>
                <w:spacing w:val="18"/>
                <w:sz w:val="24"/>
                <w:szCs w:val="24"/>
              </w:rPr>
              <w:t>4.4将监测结果与标准值（许可排放浓度限值）对照，判定是否达标排放。</w:t>
            </w:r>
          </w:p>
          <w:p>
            <w:pPr>
              <w:spacing w:line="276" w:lineRule="auto"/>
              <w:rPr>
                <w:rFonts w:hint="eastAsia" w:ascii="宋体" w:hAnsi="宋体" w:cs="宋体"/>
                <w:spacing w:val="18"/>
                <w:sz w:val="24"/>
                <w:szCs w:val="24"/>
              </w:rPr>
            </w:pPr>
            <w:r>
              <w:rPr>
                <w:rFonts w:hint="eastAsia" w:ascii="宋体" w:hAnsi="宋体" w:cs="宋体"/>
                <w:spacing w:val="18"/>
                <w:sz w:val="24"/>
                <w:szCs w:val="24"/>
              </w:rPr>
              <w:t>4.5将各种相关资料存留存档。</w:t>
            </w:r>
          </w:p>
          <w:p>
            <w:pPr>
              <w:spacing w:line="276" w:lineRule="auto"/>
              <w:rPr>
                <w:rFonts w:hint="eastAsia" w:ascii="宋体" w:hAnsi="宋体" w:cs="宋体"/>
                <w:b/>
                <w:sz w:val="24"/>
              </w:rPr>
            </w:pPr>
            <w:r>
              <w:rPr>
                <w:rFonts w:hint="eastAsia" w:ascii="宋体" w:hAnsi="宋体" w:cs="宋体"/>
                <w:b/>
                <w:sz w:val="24"/>
              </w:rPr>
              <w:t>5.监测数据记录、整理、存档</w:t>
            </w:r>
          </w:p>
          <w:p>
            <w:pPr>
              <w:spacing w:line="276" w:lineRule="auto"/>
              <w:rPr>
                <w:rFonts w:hint="eastAsia" w:ascii="宋体" w:hAnsi="宋体" w:cs="宋体"/>
                <w:spacing w:val="18"/>
                <w:sz w:val="24"/>
                <w:szCs w:val="24"/>
              </w:rPr>
            </w:pPr>
            <w:r>
              <w:rPr>
                <w:rFonts w:hint="eastAsia" w:ascii="宋体" w:hAnsi="宋体" w:cs="宋体"/>
                <w:spacing w:val="18"/>
                <w:sz w:val="24"/>
                <w:szCs w:val="24"/>
              </w:rPr>
              <w:t xml:space="preserve">   企业按要求建立完整的监测档案管理制度，保存原始监测记录和监测数据报告，保存监测期间生产记录、企业委托第三方监测委托合同、承担委托任务单位的资质和单位基本情况等资料，记录形式为：电子台账+纸质台账：保存时间不低于3年。</w:t>
            </w:r>
          </w:p>
          <w:p>
            <w:pPr>
              <w:spacing w:line="360" w:lineRule="auto"/>
              <w:rPr>
                <w:rFonts w:hint="eastAsia" w:ascii="宋体" w:hAnsi="宋体" w:cs="宋体"/>
                <w:b/>
                <w:sz w:val="24"/>
              </w:rPr>
            </w:pPr>
            <w:r>
              <w:rPr>
                <w:rFonts w:hint="eastAsia" w:ascii="宋体" w:hAnsi="宋体" w:cs="宋体"/>
                <w:b/>
                <w:sz w:val="24"/>
              </w:rPr>
              <w:t>6 .信息公开</w:t>
            </w:r>
          </w:p>
          <w:p>
            <w:pPr>
              <w:spacing w:line="360" w:lineRule="auto"/>
              <w:ind w:firstLine="527" w:firstLineChars="191"/>
              <w:rPr>
                <w:rFonts w:hint="eastAsia" w:ascii="宋体" w:hAnsi="宋体" w:cs="宋体"/>
                <w:b/>
                <w:sz w:val="24"/>
              </w:rPr>
            </w:pPr>
            <w:r>
              <w:rPr>
                <w:rFonts w:hint="eastAsia" w:ascii="宋体" w:hAnsi="宋体" w:cs="宋体"/>
                <w:spacing w:val="18"/>
                <w:sz w:val="24"/>
                <w:szCs w:val="24"/>
              </w:rPr>
              <w:t>我公司自行监测信息公开内容及方式按照《企业事业单位环境信息公开办法》（环境保护部令第31 号）及《国家重点监控企业自行监测及信息公开办法（试行）》（环发〔2013〕81 号）执行。在相关网站以及其他便于公众及时、准确获得信息的方式上公开需要公开的内容，包括企业基本信息、自行监测方案、自行监测结果、未开展自行监测原因、污染源监测年度报告以及其他应当依法公开的环境信息。</w:t>
            </w:r>
          </w:p>
          <w:p>
            <w:pPr>
              <w:keepNext w:val="0"/>
              <w:keepLines w:val="0"/>
              <w:widowControl/>
              <w:numPr>
                <w:ilvl w:val="0"/>
                <w:numId w:val="0"/>
              </w:numPr>
              <w:suppressLineNumbers w:val="0"/>
              <w:spacing w:before="100" w:beforeAutospacing="1" w:after="100" w:afterAutospacing="1" w:line="500" w:lineRule="exact"/>
              <w:ind w:leftChars="225" w:right="0" w:rightChars="0" w:firstLine="420" w:firstLineChars="200"/>
              <w:jc w:val="left"/>
              <w:outlineLvl w:val="0"/>
              <w:rPr>
                <w:rFonts w:ascii="仿宋_GB2312" w:eastAsia="仿宋_GB2312"/>
                <w:szCs w:val="28"/>
              </w:rPr>
            </w:pPr>
          </w:p>
        </w:tc>
      </w:tr>
    </w:tbl>
    <w:p>
      <w:pPr>
        <w:spacing w:line="560" w:lineRule="exact"/>
        <w:rPr>
          <w:rFonts w:hint="eastAsia" w:eastAsia="黑体"/>
          <w:sz w:val="32"/>
          <w:szCs w:val="32"/>
        </w:rPr>
      </w:pPr>
    </w:p>
    <w:p>
      <w:pPr>
        <w:spacing w:line="560" w:lineRule="exact"/>
        <w:rPr>
          <w:rFonts w:hint="eastAsia" w:eastAsia="黑体"/>
          <w:sz w:val="32"/>
          <w:szCs w:val="32"/>
        </w:rPr>
      </w:pPr>
    </w:p>
    <w:p>
      <w:pPr>
        <w:spacing w:line="560" w:lineRule="exact"/>
        <w:rPr>
          <w:rFonts w:hint="eastAsia" w:eastAsia="黑体"/>
          <w:sz w:val="32"/>
          <w:szCs w:val="32"/>
        </w:rPr>
      </w:pPr>
    </w:p>
    <w:p>
      <w:pPr>
        <w:spacing w:line="560" w:lineRule="exact"/>
        <w:rPr>
          <w:rFonts w:hint="eastAsia" w:eastAsia="黑体"/>
          <w:sz w:val="32"/>
          <w:szCs w:val="32"/>
        </w:rPr>
      </w:pPr>
    </w:p>
    <w:p>
      <w:pPr>
        <w:spacing w:line="560" w:lineRule="exact"/>
        <w:rPr>
          <w:rFonts w:hint="eastAsia" w:eastAsia="黑体"/>
          <w:sz w:val="32"/>
          <w:szCs w:val="32"/>
        </w:rPr>
      </w:pPr>
    </w:p>
    <w:p>
      <w:pPr>
        <w:spacing w:line="560" w:lineRule="exact"/>
        <w:rPr>
          <w:rFonts w:hint="eastAsia" w:eastAsia="黑体"/>
          <w:sz w:val="32"/>
          <w:szCs w:val="32"/>
        </w:rPr>
      </w:pPr>
    </w:p>
    <w:p>
      <w:pPr>
        <w:spacing w:line="560" w:lineRule="exact"/>
      </w:pPr>
      <w:r>
        <w:rPr>
          <w:rFonts w:hint="eastAsia" w:eastAsia="黑体"/>
          <w:sz w:val="32"/>
          <w:szCs w:val="32"/>
        </w:rPr>
        <w:t>七、对职工进行的环境保护培训状况</w:t>
      </w:r>
    </w:p>
    <w:p>
      <w:pPr>
        <w:widowControl/>
        <w:jc w:val="left"/>
      </w:pPr>
    </w:p>
    <w:tbl>
      <w:tblPr>
        <w:tblStyle w:val="13"/>
        <w:tblW w:w="12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5" w:hRule="atLeast"/>
          <w:jc w:val="center"/>
        </w:trPr>
        <w:tc>
          <w:tcPr>
            <w:tcW w:w="1315" w:type="dxa"/>
            <w:noWrap w:val="0"/>
            <w:vAlign w:val="center"/>
          </w:tcPr>
          <w:p>
            <w:pPr>
              <w:spacing w:line="560" w:lineRule="exact"/>
              <w:jc w:val="center"/>
              <w:rPr>
                <w:rFonts w:eastAsia="仿宋_GB2312"/>
                <w:b/>
                <w:sz w:val="28"/>
                <w:szCs w:val="28"/>
              </w:rPr>
            </w:pPr>
            <w:r>
              <w:rPr>
                <w:rFonts w:hint="eastAsia" w:eastAsia="仿宋_GB2312"/>
                <w:b/>
                <w:sz w:val="28"/>
                <w:szCs w:val="28"/>
              </w:rPr>
              <w:t>对职工进行的环境保护培训状况</w:t>
            </w:r>
          </w:p>
        </w:tc>
        <w:tc>
          <w:tcPr>
            <w:tcW w:w="11624" w:type="dxa"/>
            <w:noWrap w:val="0"/>
            <w:vAlign w:val="center"/>
          </w:tcPr>
          <w:p>
            <w:pPr>
              <w:keepNext w:val="0"/>
              <w:keepLines w:val="0"/>
              <w:widowControl/>
              <w:numPr>
                <w:ilvl w:val="0"/>
                <w:numId w:val="0"/>
              </w:numPr>
              <w:suppressLineNumbers w:val="0"/>
              <w:spacing w:before="100" w:beforeAutospacing="1" w:after="100" w:afterAutospacing="1" w:line="500" w:lineRule="exact"/>
              <w:ind w:right="0" w:rightChars="0" w:firstLine="1280" w:firstLineChars="400"/>
              <w:jc w:val="left"/>
              <w:outlineLvl w:val="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公司每年对员工进行培训:</w:t>
            </w:r>
          </w:p>
          <w:p>
            <w:pPr>
              <w:keepNext w:val="0"/>
              <w:keepLines w:val="0"/>
              <w:widowControl/>
              <w:numPr>
                <w:ilvl w:val="0"/>
                <w:numId w:val="0"/>
              </w:numPr>
              <w:suppressLineNumbers w:val="0"/>
              <w:spacing w:before="100" w:beforeAutospacing="1" w:after="100" w:afterAutospacing="1" w:line="500" w:lineRule="exact"/>
              <w:ind w:leftChars="225" w:right="0" w:rightChars="0" w:firstLine="640" w:firstLineChars="200"/>
              <w:jc w:val="left"/>
              <w:outlineLvl w:val="0"/>
              <w:rPr>
                <w:rFonts w:hint="eastAsia" w:ascii="仿宋" w:hAnsi="仿宋" w:eastAsia="仿宋" w:cs="仿宋"/>
                <w:sz w:val="32"/>
                <w:szCs w:val="32"/>
              </w:rPr>
            </w:pPr>
            <w:r>
              <w:rPr>
                <w:rFonts w:hint="eastAsia" w:ascii="仿宋" w:hAnsi="仿宋" w:eastAsia="仿宋" w:cs="仿宋"/>
                <w:kern w:val="0"/>
                <w:sz w:val="32"/>
                <w:szCs w:val="32"/>
                <w:lang w:val="en-US" w:eastAsia="zh-CN" w:bidi="ar"/>
              </w:rPr>
              <w:t>主要培训所负责岗位的工艺、操作、救援注意事项等内容。加强职工经常性的应急救援常识教育，使职工了解本公司应急救援预案的内容和执行程序，熟悉危险化学品的性质和应急救援演练的全过程，学习和掌握泄漏、环境污染等各级事故发生时应采取的正确方法和应急措施。讲明应急过程中的信号发布，让员工对各种应急信号都清楚明白。</w:t>
            </w:r>
          </w:p>
          <w:p>
            <w:pPr>
              <w:keepNext w:val="0"/>
              <w:keepLines w:val="0"/>
              <w:widowControl/>
              <w:suppressLineNumbers w:val="0"/>
              <w:spacing w:before="100" w:beforeAutospacing="1" w:after="100" w:afterAutospacing="1" w:line="560" w:lineRule="exact"/>
              <w:ind w:left="0" w:right="0"/>
              <w:jc w:val="center"/>
              <w:rPr>
                <w:rFonts w:eastAsia="仿宋_GB2312"/>
                <w:sz w:val="28"/>
                <w:szCs w:val="28"/>
              </w:rPr>
            </w:pPr>
          </w:p>
          <w:p>
            <w:pPr>
              <w:spacing w:line="560" w:lineRule="exact"/>
              <w:jc w:val="center"/>
              <w:rPr>
                <w:rFonts w:eastAsia="仿宋_GB2312"/>
                <w:sz w:val="28"/>
                <w:szCs w:val="28"/>
              </w:rPr>
            </w:pPr>
          </w:p>
        </w:tc>
      </w:tr>
    </w:tbl>
    <w:p>
      <w:pPr>
        <w:numPr>
          <w:ilvl w:val="0"/>
          <w:numId w:val="2"/>
        </w:numPr>
        <w:spacing w:line="560" w:lineRule="exact"/>
        <w:rPr>
          <w:rFonts w:hint="eastAsia" w:eastAsia="黑体"/>
          <w:sz w:val="32"/>
          <w:szCs w:val="32"/>
        </w:rPr>
      </w:pPr>
      <w:r>
        <w:rPr>
          <w:rFonts w:hint="eastAsia" w:eastAsia="黑体"/>
          <w:sz w:val="32"/>
          <w:szCs w:val="32"/>
        </w:rPr>
        <w:t>其他应当公开的环境信息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0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1240" w:type="dxa"/>
            <w:noWrap w:val="0"/>
            <w:vAlign w:val="center"/>
          </w:tcPr>
          <w:p>
            <w:pPr>
              <w:spacing w:line="560" w:lineRule="exact"/>
              <w:jc w:val="center"/>
              <w:rPr>
                <w:rFonts w:eastAsia="仿宋_GB2312"/>
                <w:b/>
                <w:sz w:val="28"/>
                <w:szCs w:val="28"/>
              </w:rPr>
            </w:pPr>
            <w:r>
              <w:rPr>
                <w:rFonts w:hint="eastAsia" w:eastAsia="仿宋_GB2312"/>
                <w:b/>
                <w:sz w:val="28"/>
                <w:szCs w:val="28"/>
              </w:rPr>
              <w:t>其他应当公开的环境信息</w:t>
            </w:r>
          </w:p>
        </w:tc>
        <w:tc>
          <w:tcPr>
            <w:tcW w:w="10959" w:type="dxa"/>
            <w:noWrap w:val="0"/>
            <w:vAlign w:val="center"/>
          </w:tcPr>
          <w:p>
            <w:pPr>
              <w:spacing w:line="560" w:lineRule="exact"/>
              <w:ind w:firstLine="4480" w:firstLineChars="1600"/>
              <w:jc w:val="both"/>
              <w:rPr>
                <w:rFonts w:hint="default" w:eastAsia="仿宋_GB2312"/>
                <w:sz w:val="28"/>
                <w:szCs w:val="28"/>
                <w:lang w:val="en-US" w:eastAsia="zh-CN"/>
              </w:rPr>
            </w:pPr>
            <w:r>
              <w:rPr>
                <w:rFonts w:hint="eastAsia" w:eastAsia="仿宋_GB2312"/>
                <w:sz w:val="28"/>
                <w:szCs w:val="28"/>
                <w:lang w:val="en-US" w:eastAsia="zh-CN"/>
              </w:rPr>
              <w:t>无</w:t>
            </w:r>
          </w:p>
          <w:p>
            <w:pPr>
              <w:spacing w:line="560" w:lineRule="exact"/>
              <w:jc w:val="center"/>
              <w:rPr>
                <w:rFonts w:eastAsia="仿宋_GB2312"/>
                <w:sz w:val="28"/>
                <w:szCs w:val="28"/>
              </w:rPr>
            </w:pPr>
          </w:p>
          <w:p>
            <w:pPr>
              <w:spacing w:line="560" w:lineRule="exact"/>
              <w:jc w:val="center"/>
              <w:rPr>
                <w:rFonts w:eastAsia="仿宋_GB2312"/>
                <w:sz w:val="28"/>
                <w:szCs w:val="28"/>
              </w:rPr>
            </w:pPr>
          </w:p>
          <w:p>
            <w:pPr>
              <w:spacing w:line="560" w:lineRule="exact"/>
              <w:jc w:val="center"/>
              <w:rPr>
                <w:rFonts w:eastAsia="仿宋_GB2312"/>
                <w:sz w:val="28"/>
                <w:szCs w:val="28"/>
              </w:rPr>
            </w:pPr>
          </w:p>
          <w:p>
            <w:pPr>
              <w:spacing w:line="560" w:lineRule="exact"/>
              <w:jc w:val="center"/>
              <w:rPr>
                <w:rFonts w:eastAsia="仿宋_GB2312"/>
                <w:sz w:val="28"/>
                <w:szCs w:val="28"/>
              </w:rPr>
            </w:pPr>
          </w:p>
        </w:tc>
      </w:tr>
    </w:tbl>
    <w:p>
      <w:pPr>
        <w:widowControl/>
        <w:jc w:val="left"/>
        <w:sectPr>
          <w:pgSz w:w="16838" w:h="11906" w:orient="landscape"/>
          <w:pgMar w:top="1588" w:right="2098" w:bottom="1588" w:left="1985" w:header="851" w:footer="992" w:gutter="0"/>
          <w:cols w:space="720" w:num="1"/>
          <w:docGrid w:type="lines" w:linePitch="312" w:charSpace="0"/>
        </w:sectPr>
      </w:pPr>
    </w:p>
    <w:p>
      <w:pPr>
        <w:spacing w:line="560" w:lineRule="exact"/>
        <w:ind w:firstLine="204" w:firstLineChars="64"/>
        <w:jc w:val="left"/>
        <w:rPr>
          <w:rFonts w:eastAsia="仿宋_GB2312"/>
          <w:sz w:val="32"/>
          <w:szCs w:val="32"/>
        </w:rPr>
      </w:pPr>
      <w:r>
        <w:rPr>
          <w:rFonts w:hint="eastAsia" w:eastAsia="仿宋_GB2312"/>
          <w:sz w:val="32"/>
          <w:szCs w:val="32"/>
        </w:rPr>
        <w:t>填表说明：</w:t>
      </w:r>
    </w:p>
    <w:p>
      <w:pPr>
        <w:numPr>
          <w:ilvl w:val="0"/>
          <w:numId w:val="3"/>
        </w:numPr>
        <w:spacing w:line="560" w:lineRule="exact"/>
        <w:jc w:val="left"/>
        <w:rPr>
          <w:rFonts w:eastAsia="仿宋_GB2312"/>
          <w:sz w:val="32"/>
          <w:szCs w:val="32"/>
        </w:rPr>
      </w:pPr>
      <w:r>
        <w:rPr>
          <w:rFonts w:hint="eastAsia" w:eastAsia="仿宋_GB2312"/>
          <w:sz w:val="32"/>
          <w:szCs w:val="32"/>
        </w:rPr>
        <w:t>排放口编号或名称应与排污许可证上载明的一致，排放口位置为排放口所在的经纬度，排放方式为纳管或排环境，排放浓度为最近一次监测数值，监测方式为手工或自动，排放总量为最近一次的年度实际排放总量，核定的排放总量为排污许可证上载明的核定排放总量或环评批复上允许的排放总量。</w:t>
      </w:r>
    </w:p>
    <w:p>
      <w:pPr>
        <w:numPr>
          <w:ilvl w:val="0"/>
          <w:numId w:val="3"/>
        </w:numPr>
        <w:spacing w:line="560" w:lineRule="exact"/>
        <w:jc w:val="left"/>
        <w:rPr>
          <w:rFonts w:eastAsia="仿宋_GB2312"/>
          <w:sz w:val="32"/>
          <w:szCs w:val="32"/>
        </w:rPr>
      </w:pPr>
      <w:r>
        <w:rPr>
          <w:rFonts w:hint="eastAsia" w:eastAsia="仿宋_GB2312"/>
          <w:sz w:val="32"/>
          <w:szCs w:val="32"/>
        </w:rPr>
        <w:t>污染源自动监控系统作为环境保护设施的组成部分，应在防治污染设施的建设和运行情况中予以公开，并在处理能力中填写监测指标。</w:t>
      </w:r>
    </w:p>
    <w:p>
      <w:pPr>
        <w:numPr>
          <w:ilvl w:val="0"/>
          <w:numId w:val="3"/>
        </w:numPr>
        <w:spacing w:line="560" w:lineRule="exact"/>
        <w:jc w:val="left"/>
        <w:rPr>
          <w:rFonts w:eastAsia="仿宋_GB2312"/>
          <w:sz w:val="32"/>
          <w:szCs w:val="32"/>
        </w:rPr>
      </w:pPr>
      <w:r>
        <w:rPr>
          <w:rFonts w:hint="eastAsia" w:eastAsia="仿宋_GB2312"/>
          <w:sz w:val="32"/>
          <w:szCs w:val="32"/>
        </w:rPr>
        <w:t>企业事业单位环境信息涉及国家秘密、商业秘密或者个人隐私的，依法可以不公开，法律、法规另有规定的，从其规定。</w:t>
      </w:r>
    </w:p>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Noto Sans CJK JP Regular">
    <w:altName w:val="Arial"/>
    <w:panose1 w:val="00000000000000000000"/>
    <w:charset w:val="00"/>
    <w:family w:val="swiss"/>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MS Mincho">
    <w:panose1 w:val="02020609040205080304"/>
    <w:charset w:val="80"/>
    <w:family w:val="modern"/>
    <w:pitch w:val="default"/>
    <w:sig w:usb0="E00002FF" w:usb1="6AC7FDFB" w:usb2="00000012" w:usb3="00000000" w:csb0="4002009F" w:csb1="DFD7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ans-serif">
    <w:altName w:val="Courier New"/>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t>1</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AF3EF"/>
    <w:multiLevelType w:val="singleLevel"/>
    <w:tmpl w:val="9E1AF3EF"/>
    <w:lvl w:ilvl="0" w:tentative="0">
      <w:start w:val="3"/>
      <w:numFmt w:val="chineseCounting"/>
      <w:suff w:val="nothing"/>
      <w:lvlText w:val="%1、"/>
      <w:lvlJc w:val="left"/>
      <w:rPr>
        <w:rFonts w:hint="eastAsia"/>
      </w:rPr>
    </w:lvl>
  </w:abstractNum>
  <w:abstractNum w:abstractNumId="1">
    <w:nsid w:val="1EC3B2AE"/>
    <w:multiLevelType w:val="singleLevel"/>
    <w:tmpl w:val="1EC3B2AE"/>
    <w:lvl w:ilvl="0" w:tentative="0">
      <w:start w:val="8"/>
      <w:numFmt w:val="chineseCounting"/>
      <w:suff w:val="nothing"/>
      <w:lvlText w:val="%1、"/>
      <w:lvlJc w:val="left"/>
      <w:rPr>
        <w:rFonts w:hint="eastAsia"/>
      </w:rPr>
    </w:lvl>
  </w:abstractNum>
  <w:abstractNum w:abstractNumId="2">
    <w:nsid w:val="567CD845"/>
    <w:multiLevelType w:val="multilevel"/>
    <w:tmpl w:val="567CD845"/>
    <w:lvl w:ilvl="0" w:tentative="0">
      <w:start w:val="1"/>
      <w:numFmt w:val="decimal"/>
      <w:lvlText w:val="%1、"/>
      <w:lvlJc w:val="left"/>
      <w:pPr>
        <w:ind w:left="925" w:hanging="720"/>
      </w:pPr>
      <w:rPr>
        <w:rFonts w:cs="Times New Roman"/>
      </w:rPr>
    </w:lvl>
    <w:lvl w:ilvl="1" w:tentative="0">
      <w:start w:val="1"/>
      <w:numFmt w:val="lowerLetter"/>
      <w:lvlText w:val="%2)"/>
      <w:lvlJc w:val="left"/>
      <w:pPr>
        <w:ind w:left="1045" w:hanging="420"/>
      </w:pPr>
      <w:rPr>
        <w:rFonts w:cs="Times New Roman"/>
      </w:rPr>
    </w:lvl>
    <w:lvl w:ilvl="2" w:tentative="0">
      <w:start w:val="1"/>
      <w:numFmt w:val="lowerRoman"/>
      <w:lvlText w:val="%3."/>
      <w:lvlJc w:val="right"/>
      <w:pPr>
        <w:ind w:left="1465" w:hanging="420"/>
      </w:pPr>
      <w:rPr>
        <w:rFonts w:cs="Times New Roman"/>
      </w:rPr>
    </w:lvl>
    <w:lvl w:ilvl="3" w:tentative="0">
      <w:start w:val="1"/>
      <w:numFmt w:val="decimal"/>
      <w:lvlText w:val="%4."/>
      <w:lvlJc w:val="left"/>
      <w:pPr>
        <w:ind w:left="1885" w:hanging="420"/>
      </w:pPr>
      <w:rPr>
        <w:rFonts w:cs="Times New Roman"/>
      </w:rPr>
    </w:lvl>
    <w:lvl w:ilvl="4" w:tentative="0">
      <w:start w:val="1"/>
      <w:numFmt w:val="lowerLetter"/>
      <w:lvlText w:val="%5)"/>
      <w:lvlJc w:val="left"/>
      <w:pPr>
        <w:ind w:left="2305" w:hanging="420"/>
      </w:pPr>
      <w:rPr>
        <w:rFonts w:cs="Times New Roman"/>
      </w:rPr>
    </w:lvl>
    <w:lvl w:ilvl="5" w:tentative="0">
      <w:start w:val="1"/>
      <w:numFmt w:val="lowerRoman"/>
      <w:lvlText w:val="%6."/>
      <w:lvlJc w:val="right"/>
      <w:pPr>
        <w:ind w:left="2725" w:hanging="420"/>
      </w:pPr>
      <w:rPr>
        <w:rFonts w:cs="Times New Roman"/>
      </w:rPr>
    </w:lvl>
    <w:lvl w:ilvl="6" w:tentative="0">
      <w:start w:val="1"/>
      <w:numFmt w:val="decimal"/>
      <w:lvlText w:val="%7."/>
      <w:lvlJc w:val="left"/>
      <w:pPr>
        <w:ind w:left="3145" w:hanging="420"/>
      </w:pPr>
      <w:rPr>
        <w:rFonts w:cs="Times New Roman"/>
      </w:rPr>
    </w:lvl>
    <w:lvl w:ilvl="7" w:tentative="0">
      <w:start w:val="1"/>
      <w:numFmt w:val="lowerLetter"/>
      <w:lvlText w:val="%8)"/>
      <w:lvlJc w:val="left"/>
      <w:pPr>
        <w:ind w:left="3565" w:hanging="420"/>
      </w:pPr>
      <w:rPr>
        <w:rFonts w:cs="Times New Roman"/>
      </w:rPr>
    </w:lvl>
    <w:lvl w:ilvl="8" w:tentative="0">
      <w:start w:val="1"/>
      <w:numFmt w:val="lowerRoman"/>
      <w:lvlText w:val="%9."/>
      <w:lvlJc w:val="right"/>
      <w:pPr>
        <w:ind w:left="3985" w:hanging="420"/>
      </w:pPr>
      <w:rPr>
        <w:rFonts w:cs="Times New Roman"/>
      </w:rPr>
    </w:lvl>
  </w:abstractNum>
  <w:num w:numId="1">
    <w:abstractNumId w:val="0"/>
  </w:num>
  <w:num w:numId="2">
    <w:abstractNumId w:val="1"/>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12F"/>
    <w:rsid w:val="00147E36"/>
    <w:rsid w:val="001F712F"/>
    <w:rsid w:val="002210F3"/>
    <w:rsid w:val="00257CB1"/>
    <w:rsid w:val="005C0EE6"/>
    <w:rsid w:val="00600B25"/>
    <w:rsid w:val="007D13F3"/>
    <w:rsid w:val="00835169"/>
    <w:rsid w:val="009B3E20"/>
    <w:rsid w:val="00A7306C"/>
    <w:rsid w:val="00B605BD"/>
    <w:rsid w:val="00C20F1F"/>
    <w:rsid w:val="00EA0A0C"/>
    <w:rsid w:val="010C6BAD"/>
    <w:rsid w:val="013E1821"/>
    <w:rsid w:val="02B90D8E"/>
    <w:rsid w:val="02CC60EB"/>
    <w:rsid w:val="030B63A0"/>
    <w:rsid w:val="038B6C58"/>
    <w:rsid w:val="03C10485"/>
    <w:rsid w:val="058F5FC0"/>
    <w:rsid w:val="06357962"/>
    <w:rsid w:val="06524D89"/>
    <w:rsid w:val="06B95A33"/>
    <w:rsid w:val="06DE09DF"/>
    <w:rsid w:val="072B244C"/>
    <w:rsid w:val="07805F5A"/>
    <w:rsid w:val="07E06662"/>
    <w:rsid w:val="093C6FEA"/>
    <w:rsid w:val="0A2157CF"/>
    <w:rsid w:val="0AAA590F"/>
    <w:rsid w:val="0B8C0A02"/>
    <w:rsid w:val="0D2E4C78"/>
    <w:rsid w:val="0D373D58"/>
    <w:rsid w:val="0D53059E"/>
    <w:rsid w:val="0D583CAD"/>
    <w:rsid w:val="0E4B790E"/>
    <w:rsid w:val="0F055926"/>
    <w:rsid w:val="0F8D601A"/>
    <w:rsid w:val="0FEA0B2D"/>
    <w:rsid w:val="100B7BF3"/>
    <w:rsid w:val="10461AF8"/>
    <w:rsid w:val="10D568F9"/>
    <w:rsid w:val="114A7C6E"/>
    <w:rsid w:val="11C95013"/>
    <w:rsid w:val="12597751"/>
    <w:rsid w:val="12607967"/>
    <w:rsid w:val="150E16C8"/>
    <w:rsid w:val="152D1270"/>
    <w:rsid w:val="16EB44D5"/>
    <w:rsid w:val="171E7BBB"/>
    <w:rsid w:val="17D359A4"/>
    <w:rsid w:val="181E31A7"/>
    <w:rsid w:val="188E5A17"/>
    <w:rsid w:val="1927334D"/>
    <w:rsid w:val="1A027B1F"/>
    <w:rsid w:val="1A2129B3"/>
    <w:rsid w:val="1A944B14"/>
    <w:rsid w:val="1AE93B1B"/>
    <w:rsid w:val="1B38662E"/>
    <w:rsid w:val="1BBA192B"/>
    <w:rsid w:val="1BD05417"/>
    <w:rsid w:val="1E066E89"/>
    <w:rsid w:val="1E5408BE"/>
    <w:rsid w:val="1E561621"/>
    <w:rsid w:val="1E5E4611"/>
    <w:rsid w:val="1F6B3698"/>
    <w:rsid w:val="1FF0628A"/>
    <w:rsid w:val="2155566D"/>
    <w:rsid w:val="216D37EA"/>
    <w:rsid w:val="21DD425A"/>
    <w:rsid w:val="21F01266"/>
    <w:rsid w:val="242A1BA0"/>
    <w:rsid w:val="24520CF3"/>
    <w:rsid w:val="254D4979"/>
    <w:rsid w:val="26A27BE5"/>
    <w:rsid w:val="2848098A"/>
    <w:rsid w:val="28820B71"/>
    <w:rsid w:val="28AE550B"/>
    <w:rsid w:val="28FC1D98"/>
    <w:rsid w:val="29263201"/>
    <w:rsid w:val="2A140F46"/>
    <w:rsid w:val="2A4209CE"/>
    <w:rsid w:val="2A9B3790"/>
    <w:rsid w:val="2AAF4B3F"/>
    <w:rsid w:val="2B7E319F"/>
    <w:rsid w:val="2BBB52C1"/>
    <w:rsid w:val="2CBA495C"/>
    <w:rsid w:val="2CF517D3"/>
    <w:rsid w:val="2D193BF2"/>
    <w:rsid w:val="2D320340"/>
    <w:rsid w:val="2D5653ED"/>
    <w:rsid w:val="2F4910A0"/>
    <w:rsid w:val="2F7C53CF"/>
    <w:rsid w:val="2FE61DA5"/>
    <w:rsid w:val="3085015A"/>
    <w:rsid w:val="351A1B36"/>
    <w:rsid w:val="357C3016"/>
    <w:rsid w:val="36107D0E"/>
    <w:rsid w:val="3641657F"/>
    <w:rsid w:val="365E067E"/>
    <w:rsid w:val="37197EAF"/>
    <w:rsid w:val="384F25AE"/>
    <w:rsid w:val="39767DA7"/>
    <w:rsid w:val="398B7E3D"/>
    <w:rsid w:val="3BAF56C1"/>
    <w:rsid w:val="3BB657C0"/>
    <w:rsid w:val="3C916821"/>
    <w:rsid w:val="3C9F0324"/>
    <w:rsid w:val="3E285F9E"/>
    <w:rsid w:val="3E28611D"/>
    <w:rsid w:val="3EDF3389"/>
    <w:rsid w:val="405448EF"/>
    <w:rsid w:val="40F9220F"/>
    <w:rsid w:val="413E3847"/>
    <w:rsid w:val="4153458B"/>
    <w:rsid w:val="41C04ADA"/>
    <w:rsid w:val="41DD49D5"/>
    <w:rsid w:val="42A133CC"/>
    <w:rsid w:val="436A4C1C"/>
    <w:rsid w:val="44124E41"/>
    <w:rsid w:val="443D433E"/>
    <w:rsid w:val="47F47D36"/>
    <w:rsid w:val="48A3497C"/>
    <w:rsid w:val="48DD7E23"/>
    <w:rsid w:val="493C65B5"/>
    <w:rsid w:val="49DF3234"/>
    <w:rsid w:val="4A3A12BA"/>
    <w:rsid w:val="4A762B0E"/>
    <w:rsid w:val="4AA8049B"/>
    <w:rsid w:val="4B16537F"/>
    <w:rsid w:val="4D096CC1"/>
    <w:rsid w:val="4D481CEC"/>
    <w:rsid w:val="4E2F73D0"/>
    <w:rsid w:val="4E5A12D9"/>
    <w:rsid w:val="4F8322EA"/>
    <w:rsid w:val="4FB524F0"/>
    <w:rsid w:val="501A68F7"/>
    <w:rsid w:val="5061150F"/>
    <w:rsid w:val="50790041"/>
    <w:rsid w:val="507E1AFC"/>
    <w:rsid w:val="50AB1C08"/>
    <w:rsid w:val="50AE519E"/>
    <w:rsid w:val="51492906"/>
    <w:rsid w:val="51BF6359"/>
    <w:rsid w:val="531A6557"/>
    <w:rsid w:val="53D045E4"/>
    <w:rsid w:val="5475552D"/>
    <w:rsid w:val="55BF6BFB"/>
    <w:rsid w:val="55F67B88"/>
    <w:rsid w:val="56030808"/>
    <w:rsid w:val="56083A20"/>
    <w:rsid w:val="57D62FF5"/>
    <w:rsid w:val="590435D7"/>
    <w:rsid w:val="590B7F02"/>
    <w:rsid w:val="594C1A6B"/>
    <w:rsid w:val="59A94644"/>
    <w:rsid w:val="59EA6123"/>
    <w:rsid w:val="5A4B23CD"/>
    <w:rsid w:val="5A4F08BF"/>
    <w:rsid w:val="5AAA3A4D"/>
    <w:rsid w:val="5CA93B9A"/>
    <w:rsid w:val="5D445F0F"/>
    <w:rsid w:val="5E250C96"/>
    <w:rsid w:val="5E2E5847"/>
    <w:rsid w:val="5E6F6ED5"/>
    <w:rsid w:val="5E9C1E27"/>
    <w:rsid w:val="5FA9130F"/>
    <w:rsid w:val="5FD923BF"/>
    <w:rsid w:val="600C5A71"/>
    <w:rsid w:val="60583943"/>
    <w:rsid w:val="60656DAB"/>
    <w:rsid w:val="60A04138"/>
    <w:rsid w:val="61BF73D7"/>
    <w:rsid w:val="623601A4"/>
    <w:rsid w:val="624D1AA5"/>
    <w:rsid w:val="62E67CBB"/>
    <w:rsid w:val="62FC213B"/>
    <w:rsid w:val="63837975"/>
    <w:rsid w:val="63CE75DC"/>
    <w:rsid w:val="64591692"/>
    <w:rsid w:val="64A76AAF"/>
    <w:rsid w:val="64B43DF7"/>
    <w:rsid w:val="64D7521C"/>
    <w:rsid w:val="65816D3A"/>
    <w:rsid w:val="65D22C57"/>
    <w:rsid w:val="661C4D4C"/>
    <w:rsid w:val="679E6DD3"/>
    <w:rsid w:val="67B13757"/>
    <w:rsid w:val="68732337"/>
    <w:rsid w:val="687365C5"/>
    <w:rsid w:val="68887BFA"/>
    <w:rsid w:val="69C51D0E"/>
    <w:rsid w:val="6A1D4C59"/>
    <w:rsid w:val="6B1E5FD0"/>
    <w:rsid w:val="6B7E2792"/>
    <w:rsid w:val="6C48521B"/>
    <w:rsid w:val="6D1B2D9B"/>
    <w:rsid w:val="6D7B2CA6"/>
    <w:rsid w:val="6DC7655A"/>
    <w:rsid w:val="6DDF674F"/>
    <w:rsid w:val="6E9D3662"/>
    <w:rsid w:val="6EC5521F"/>
    <w:rsid w:val="6F56673C"/>
    <w:rsid w:val="6FCF20D0"/>
    <w:rsid w:val="70CF32BE"/>
    <w:rsid w:val="71C9367F"/>
    <w:rsid w:val="71FB5C42"/>
    <w:rsid w:val="721660FE"/>
    <w:rsid w:val="72201501"/>
    <w:rsid w:val="73F33B39"/>
    <w:rsid w:val="748F1D9A"/>
    <w:rsid w:val="74EE34AF"/>
    <w:rsid w:val="75BC330E"/>
    <w:rsid w:val="7784677C"/>
    <w:rsid w:val="77C4324D"/>
    <w:rsid w:val="78C751FA"/>
    <w:rsid w:val="78F62FD2"/>
    <w:rsid w:val="7A0E7069"/>
    <w:rsid w:val="7A365CCF"/>
    <w:rsid w:val="7B0F5121"/>
    <w:rsid w:val="7B2C15BE"/>
    <w:rsid w:val="7B756C9A"/>
    <w:rsid w:val="7C525F1B"/>
    <w:rsid w:val="7D2716C3"/>
    <w:rsid w:val="7DB64066"/>
    <w:rsid w:val="7FC8181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1"/>
    <w:qFormat/>
    <w:uiPriority w:val="99"/>
    <w:pPr>
      <w:keepNext/>
      <w:keepLines/>
      <w:spacing w:before="340" w:after="330" w:line="578" w:lineRule="auto"/>
      <w:jc w:val="center"/>
      <w:outlineLvl w:val="0"/>
    </w:pPr>
    <w:rPr>
      <w:b/>
      <w:kern w:val="44"/>
      <w:sz w:val="32"/>
    </w:rPr>
  </w:style>
  <w:style w:type="paragraph" w:styleId="4">
    <w:name w:val="heading 2"/>
    <w:basedOn w:val="1"/>
    <w:next w:val="1"/>
    <w:link w:val="22"/>
    <w:qFormat/>
    <w:uiPriority w:val="99"/>
    <w:pPr>
      <w:keepNext/>
      <w:keepLines/>
      <w:spacing w:before="260" w:after="260" w:line="416" w:lineRule="auto"/>
      <w:outlineLvl w:val="1"/>
    </w:pPr>
    <w:rPr>
      <w:rFonts w:ascii="Arial" w:hAnsi="Arial"/>
      <w:b/>
      <w:sz w:val="28"/>
    </w:rPr>
  </w:style>
  <w:style w:type="paragraph" w:styleId="5">
    <w:name w:val="heading 3"/>
    <w:basedOn w:val="1"/>
    <w:next w:val="1"/>
    <w:link w:val="19"/>
    <w:qFormat/>
    <w:uiPriority w:val="99"/>
    <w:pPr>
      <w:keepNext/>
      <w:keepLines/>
      <w:spacing w:before="260" w:after="260" w:line="416" w:lineRule="auto"/>
      <w:outlineLvl w:val="2"/>
    </w:pPr>
    <w:rPr>
      <w:sz w:val="28"/>
    </w:rPr>
  </w:style>
  <w:style w:type="paragraph" w:styleId="6">
    <w:name w:val="heading 4"/>
    <w:basedOn w:val="1"/>
    <w:next w:val="1"/>
    <w:link w:val="20"/>
    <w:qFormat/>
    <w:uiPriority w:val="99"/>
    <w:pPr>
      <w:keepNext/>
      <w:keepLines/>
      <w:spacing w:before="280" w:after="290" w:line="376" w:lineRule="auto"/>
      <w:outlineLvl w:val="3"/>
    </w:pPr>
    <w:rPr>
      <w:rFonts w:ascii="Cambria" w:hAnsi="Cambria"/>
      <w:b/>
      <w:bCs/>
      <w:sz w:val="28"/>
      <w:szCs w:val="28"/>
    </w:rPr>
  </w:style>
  <w:style w:type="character" w:default="1" w:styleId="14">
    <w:name w:val="Default Paragraph Font"/>
    <w:semiHidden/>
    <w:qFormat/>
    <w:uiPriority w:val="99"/>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toc 2"/>
    <w:basedOn w:val="1"/>
    <w:next w:val="1"/>
    <w:locked/>
    <w:uiPriority w:val="39"/>
    <w:pPr>
      <w:ind w:left="420" w:leftChars="200"/>
    </w:pPr>
  </w:style>
  <w:style w:type="paragraph" w:styleId="7">
    <w:name w:val="Body Text"/>
    <w:basedOn w:val="1"/>
    <w:qFormat/>
    <w:uiPriority w:val="1"/>
    <w:pPr>
      <w:widowControl w:val="0"/>
      <w:autoSpaceDE w:val="0"/>
      <w:autoSpaceDN w:val="0"/>
      <w:adjustRightInd/>
      <w:snapToGrid/>
      <w:spacing w:after="0"/>
    </w:pPr>
    <w:rPr>
      <w:rFonts w:ascii="Noto Sans CJK JP Regular" w:hAnsi="Noto Sans CJK JP Regular" w:eastAsia="Noto Sans CJK JP Regular" w:cs="Noto Sans CJK JP Regular"/>
      <w:sz w:val="24"/>
      <w:szCs w:val="24"/>
      <w:lang w:val="zh-CN" w:bidi="zh-CN"/>
    </w:rPr>
  </w:style>
  <w:style w:type="paragraph" w:styleId="8">
    <w:name w:val="Plain Text"/>
    <w:basedOn w:val="1"/>
    <w:link w:val="24"/>
    <w:qFormat/>
    <w:uiPriority w:val="99"/>
    <w:pPr>
      <w:adjustRightInd w:val="0"/>
      <w:spacing w:line="312" w:lineRule="atLeast"/>
      <w:textAlignment w:val="baseline"/>
    </w:pPr>
    <w:rPr>
      <w:rFonts w:ascii="宋体" w:hAnsi="Courier New"/>
      <w:kern w:val="0"/>
      <w:szCs w:val="20"/>
    </w:rPr>
  </w:style>
  <w:style w:type="paragraph" w:styleId="9">
    <w:name w:val="Balloon Text"/>
    <w:basedOn w:val="1"/>
    <w:link w:val="18"/>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sz w:val="18"/>
      <w:szCs w:val="18"/>
    </w:rPr>
  </w:style>
  <w:style w:type="paragraph" w:styleId="11">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spacing w:before="100" w:beforeAutospacing="1" w:after="100" w:afterAutospacing="1"/>
      <w:jc w:val="left"/>
    </w:pPr>
    <w:rPr>
      <w:rFonts w:ascii="宋体" w:hAnsi="宋体"/>
      <w:kern w:val="0"/>
      <w:sz w:val="24"/>
    </w:rPr>
  </w:style>
  <w:style w:type="character" w:styleId="15">
    <w:name w:val="Hyperlink"/>
    <w:uiPriority w:val="99"/>
    <w:rPr>
      <w:color w:val="0000FF"/>
      <w:u w:val="single"/>
    </w:rPr>
  </w:style>
  <w:style w:type="paragraph" w:customStyle="1" w:styleId="1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7">
    <w:name w:val="Header Char"/>
    <w:basedOn w:val="14"/>
    <w:link w:val="11"/>
    <w:qFormat/>
    <w:locked/>
    <w:uiPriority w:val="99"/>
    <w:rPr>
      <w:rFonts w:ascii="Calibri" w:hAnsi="Calibri" w:eastAsia="宋体" w:cs="Times New Roman"/>
      <w:sz w:val="18"/>
      <w:szCs w:val="18"/>
    </w:rPr>
  </w:style>
  <w:style w:type="character" w:customStyle="1" w:styleId="18">
    <w:name w:val="Balloon Text Char"/>
    <w:basedOn w:val="14"/>
    <w:link w:val="9"/>
    <w:semiHidden/>
    <w:qFormat/>
    <w:locked/>
    <w:uiPriority w:val="99"/>
    <w:rPr>
      <w:rFonts w:ascii="Calibri" w:hAnsi="Calibri" w:eastAsia="宋体" w:cs="Times New Roman"/>
      <w:kern w:val="2"/>
      <w:sz w:val="18"/>
      <w:szCs w:val="18"/>
    </w:rPr>
  </w:style>
  <w:style w:type="character" w:customStyle="1" w:styleId="19">
    <w:name w:val="Heading 3 Char"/>
    <w:basedOn w:val="14"/>
    <w:link w:val="5"/>
    <w:semiHidden/>
    <w:qFormat/>
    <w:uiPriority w:val="9"/>
    <w:rPr>
      <w:rFonts w:ascii="Calibri" w:hAnsi="Calibri"/>
      <w:b/>
      <w:bCs/>
      <w:sz w:val="32"/>
      <w:szCs w:val="32"/>
    </w:rPr>
  </w:style>
  <w:style w:type="character" w:customStyle="1" w:styleId="20">
    <w:name w:val="Heading 4 Char"/>
    <w:basedOn w:val="14"/>
    <w:link w:val="6"/>
    <w:semiHidden/>
    <w:qFormat/>
    <w:uiPriority w:val="9"/>
    <w:rPr>
      <w:rFonts w:ascii="Cambria" w:hAnsi="Cambria" w:eastAsia="宋体" w:cs="Times New Roman"/>
      <w:b/>
      <w:bCs/>
      <w:sz w:val="28"/>
      <w:szCs w:val="28"/>
    </w:rPr>
  </w:style>
  <w:style w:type="character" w:customStyle="1" w:styleId="21">
    <w:name w:val="Heading 1 Char"/>
    <w:basedOn w:val="14"/>
    <w:link w:val="3"/>
    <w:qFormat/>
    <w:uiPriority w:val="9"/>
    <w:rPr>
      <w:rFonts w:ascii="Calibri" w:hAnsi="Calibri"/>
      <w:b/>
      <w:bCs/>
      <w:kern w:val="44"/>
      <w:sz w:val="44"/>
      <w:szCs w:val="44"/>
    </w:rPr>
  </w:style>
  <w:style w:type="character" w:customStyle="1" w:styleId="22">
    <w:name w:val="Heading 2 Char"/>
    <w:basedOn w:val="14"/>
    <w:link w:val="4"/>
    <w:semiHidden/>
    <w:qFormat/>
    <w:uiPriority w:val="9"/>
    <w:rPr>
      <w:rFonts w:ascii="Cambria" w:hAnsi="Cambria" w:eastAsia="宋体" w:cs="Times New Roman"/>
      <w:b/>
      <w:bCs/>
      <w:sz w:val="32"/>
      <w:szCs w:val="32"/>
    </w:rPr>
  </w:style>
  <w:style w:type="character" w:customStyle="1" w:styleId="23">
    <w:name w:val="Footer Char"/>
    <w:basedOn w:val="14"/>
    <w:link w:val="10"/>
    <w:qFormat/>
    <w:locked/>
    <w:uiPriority w:val="99"/>
    <w:rPr>
      <w:rFonts w:ascii="Calibri" w:hAnsi="Calibri" w:eastAsia="宋体" w:cs="Times New Roman"/>
      <w:sz w:val="18"/>
      <w:szCs w:val="18"/>
    </w:rPr>
  </w:style>
  <w:style w:type="character" w:customStyle="1" w:styleId="24">
    <w:name w:val="Plain Text Char"/>
    <w:basedOn w:val="14"/>
    <w:link w:val="8"/>
    <w:semiHidden/>
    <w:qFormat/>
    <w:uiPriority w:val="99"/>
    <w:rPr>
      <w:rFonts w:ascii="宋体" w:hAnsi="Courier New" w:cs="Courier New"/>
      <w:szCs w:val="21"/>
    </w:rPr>
  </w:style>
  <w:style w:type="paragraph" w:customStyle="1" w:styleId="25">
    <w:name w:val="报告正文"/>
    <w:basedOn w:val="1"/>
    <w:qFormat/>
    <w:uiPriority w:val="99"/>
    <w:pPr>
      <w:spacing w:line="480" w:lineRule="exact"/>
      <w:ind w:firstLine="200" w:firstLineChars="200"/>
    </w:pPr>
    <w:rPr>
      <w:sz w:val="24"/>
    </w:rPr>
  </w:style>
  <w:style w:type="paragraph" w:customStyle="1" w:styleId="26">
    <w:name w:val="2级标题"/>
    <w:basedOn w:val="1"/>
    <w:qFormat/>
    <w:uiPriority w:val="99"/>
    <w:pPr>
      <w:spacing w:before="60" w:line="460" w:lineRule="exact"/>
      <w:outlineLvl w:val="1"/>
    </w:pPr>
    <w:rPr>
      <w:b/>
      <w:sz w:val="28"/>
    </w:rPr>
  </w:style>
  <w:style w:type="paragraph" w:customStyle="1" w:styleId="27">
    <w:name w:val="reader-word-layer reader-word-s5-7"/>
    <w:basedOn w:val="1"/>
    <w:qFormat/>
    <w:uiPriority w:val="99"/>
    <w:pPr>
      <w:widowControl/>
      <w:spacing w:beforeAutospacing="1" w:afterAutospacing="1"/>
      <w:jc w:val="left"/>
    </w:pPr>
    <w:rPr>
      <w:rFonts w:ascii="宋体" w:hAnsi="宋体" w:cs="宋体"/>
      <w:kern w:val="0"/>
      <w:sz w:val="24"/>
    </w:rPr>
  </w:style>
  <w:style w:type="paragraph" w:customStyle="1" w:styleId="28">
    <w:name w:val="正文01"/>
    <w:basedOn w:val="1"/>
    <w:qFormat/>
    <w:uiPriority w:val="99"/>
    <w:pPr>
      <w:spacing w:before="60" w:line="460" w:lineRule="exact"/>
      <w:ind w:firstLine="200" w:firstLineChars="200"/>
    </w:pPr>
    <w:rPr>
      <w:sz w:val="24"/>
    </w:rPr>
  </w:style>
  <w:style w:type="paragraph" w:customStyle="1" w:styleId="29">
    <w:name w:val="0"/>
    <w:basedOn w:val="1"/>
    <w:qFormat/>
    <w:uiPriority w:val="99"/>
    <w:pPr>
      <w:widowControl/>
      <w:snapToGrid w:val="0"/>
      <w:jc w:val="left"/>
    </w:pPr>
    <w:rPr>
      <w:kern w:val="0"/>
      <w:sz w:val="20"/>
      <w:szCs w:val="20"/>
    </w:rPr>
  </w:style>
  <w:style w:type="paragraph" w:customStyle="1" w:styleId="30">
    <w:name w:val="三级标题"/>
    <w:basedOn w:val="28"/>
    <w:qFormat/>
    <w:uiPriority w:val="99"/>
    <w:pPr>
      <w:spacing w:before="300"/>
      <w:ind w:firstLine="0" w:firstLineChars="0"/>
      <w:outlineLvl w:val="2"/>
    </w:pPr>
    <w:rPr>
      <w:b/>
    </w:rPr>
  </w:style>
  <w:style w:type="paragraph" w:customStyle="1" w:styleId="31">
    <w:name w:val="样式 正文001 + Times New Roman"/>
    <w:basedOn w:val="32"/>
    <w:qFormat/>
    <w:uiPriority w:val="99"/>
    <w:pPr>
      <w:ind w:firstLine="482" w:firstLineChars="0"/>
    </w:pPr>
    <w:rPr>
      <w:rFonts w:ascii="Calibri" w:hAnsi="Calibri"/>
      <w:szCs w:val="22"/>
    </w:rPr>
  </w:style>
  <w:style w:type="paragraph" w:customStyle="1" w:styleId="32">
    <w:name w:val="正文001"/>
    <w:basedOn w:val="1"/>
    <w:qFormat/>
    <w:uiPriority w:val="99"/>
    <w:pPr>
      <w:spacing w:before="60" w:line="460" w:lineRule="exact"/>
      <w:ind w:firstLine="200" w:firstLineChars="200"/>
    </w:pPr>
    <w:rPr>
      <w:rFonts w:ascii="Arial" w:hAnsi="Arial"/>
      <w:sz w:val="24"/>
      <w:szCs w:val="20"/>
    </w:rPr>
  </w:style>
  <w:style w:type="paragraph" w:customStyle="1" w:styleId="33">
    <w:name w:val="xl24"/>
    <w:basedOn w:val="1"/>
    <w:qFormat/>
    <w:uiPriority w:val="99"/>
    <w:pPr>
      <w:widowControl/>
      <w:spacing w:before="100" w:beforeAutospacing="1" w:after="100" w:afterAutospacing="1"/>
      <w:jc w:val="center"/>
    </w:pPr>
    <w:rPr>
      <w:rFonts w:ascii="Arial Unicode MS" w:hAnsi="Arial Unicode MS" w:cs="Arial Unicode MS"/>
      <w:kern w:val="0"/>
      <w:sz w:val="24"/>
    </w:rPr>
  </w:style>
  <w:style w:type="paragraph" w:customStyle="1" w:styleId="34">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35">
    <w:name w:val="1级标题"/>
    <w:basedOn w:val="1"/>
    <w:qFormat/>
    <w:uiPriority w:val="99"/>
    <w:pPr>
      <w:spacing w:before="60" w:line="460" w:lineRule="exact"/>
      <w:outlineLvl w:val="0"/>
    </w:pPr>
    <w:rPr>
      <w:b/>
      <w:sz w:val="32"/>
    </w:rPr>
  </w:style>
  <w:style w:type="paragraph" w:customStyle="1" w:styleId="36">
    <w:name w:val="reader-word-layer reader-word-s5-1 reader-word-s5-10"/>
    <w:basedOn w:val="1"/>
    <w:qFormat/>
    <w:uiPriority w:val="99"/>
    <w:pPr>
      <w:widowControl/>
      <w:spacing w:beforeAutospacing="1" w:afterAutospacing="1"/>
      <w:jc w:val="left"/>
    </w:pPr>
    <w:rPr>
      <w:rFonts w:ascii="宋体" w:hAnsi="宋体" w:cs="宋体"/>
      <w:kern w:val="0"/>
      <w:sz w:val="24"/>
    </w:rPr>
  </w:style>
  <w:style w:type="paragraph" w:customStyle="1" w:styleId="37">
    <w:name w:val="正文 New New New New New New New New New New New New New New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3级标题"/>
    <w:basedOn w:val="1"/>
    <w:qFormat/>
    <w:uiPriority w:val="99"/>
    <w:pPr>
      <w:spacing w:before="300" w:line="460" w:lineRule="exact"/>
      <w:outlineLvl w:val="2"/>
    </w:pPr>
    <w:rPr>
      <w:rFonts w:ascii="Arial" w:hAnsi="Arial"/>
      <w:b/>
      <w:sz w:val="24"/>
    </w:rPr>
  </w:style>
  <w:style w:type="paragraph" w:customStyle="1" w:styleId="39">
    <w:name w:val="reader-word-layer reader-word-s5-9"/>
    <w:basedOn w:val="1"/>
    <w:qFormat/>
    <w:uiPriority w:val="99"/>
    <w:pPr>
      <w:widowControl/>
      <w:spacing w:beforeAutospacing="1" w:afterAutospacing="1"/>
      <w:jc w:val="left"/>
    </w:pPr>
    <w:rPr>
      <w:rFonts w:ascii="宋体" w:hAnsi="宋体" w:cs="宋体"/>
      <w:kern w:val="0"/>
      <w:sz w:val="24"/>
    </w:rPr>
  </w:style>
  <w:style w:type="paragraph" w:styleId="40">
    <w:name w:val="List Paragraph"/>
    <w:basedOn w:val="1"/>
    <w:qFormat/>
    <w:uiPriority w:val="34"/>
    <w:pPr>
      <w:ind w:firstLine="420" w:firstLineChars="200"/>
    </w:pPr>
  </w:style>
  <w:style w:type="character" w:customStyle="1" w:styleId="41">
    <w:name w:val="正文文本 + MS Mincho"/>
    <w:unhideWhenUsed/>
    <w:qFormat/>
    <w:uiPriority w:val="99"/>
    <w:rPr>
      <w:rFonts w:hint="default" w:ascii="MS Mincho" w:hAnsi="MS Mincho" w:eastAsia="MS Mincho"/>
      <w:spacing w:val="0"/>
      <w:sz w:val="21"/>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50</Pages>
  <Words>3882</Words>
  <Characters>22132</Characters>
  <Lines>0</Lines>
  <Paragraphs>0</Paragraphs>
  <TotalTime>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2015-06-11T02:08:00Z</dcterms:created>
  <dc:creator>周密</dc:creator>
  <cp:lastModifiedBy>superman </cp:lastModifiedBy>
  <cp:lastPrinted>2015-12-24T03:11:00Z</cp:lastPrinted>
  <dcterms:modified xsi:type="dcterms:W3CDTF">2021-09-01T00:59:22Z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0C35D67D9E3C46D8AE04A250F2DF0361</vt:lpwstr>
  </property>
</Properties>
</file>