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s="Times New Roman"/>
          <w:sz w:val="44"/>
          <w:szCs w:val="44"/>
        </w:rPr>
      </w:pPr>
      <w:r>
        <w:rPr>
          <w:rFonts w:hint="eastAsia" w:eastAsia="方正小标宋简体" w:cs="方正小标宋简体"/>
          <w:sz w:val="44"/>
          <w:szCs w:val="44"/>
        </w:rPr>
        <w:t>企业事业单位环境信息公开表</w:t>
      </w: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一、基础信息</w:t>
      </w:r>
    </w:p>
    <w:tbl>
      <w:tblPr>
        <w:tblStyle w:val="27"/>
        <w:tblW w:w="9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单位名称</w:t>
            </w:r>
          </w:p>
        </w:tc>
        <w:tc>
          <w:tcPr>
            <w:tcW w:w="7371" w:type="dxa"/>
            <w:gridSpan w:val="3"/>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rPr>
              <w:t>中拓河北乳胶科技发展有限公司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组织机构代码</w:t>
            </w:r>
          </w:p>
        </w:tc>
        <w:tc>
          <w:tcPr>
            <w:tcW w:w="2552" w:type="dxa"/>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rPr>
              <w:t>91130611MA07L56349</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法定代表人</w:t>
            </w:r>
          </w:p>
        </w:tc>
        <w:tc>
          <w:tcPr>
            <w:tcW w:w="2835" w:type="dxa"/>
          </w:tcPr>
          <w:p>
            <w:pPr>
              <w:spacing w:line="620" w:lineRule="exact"/>
              <w:jc w:val="center"/>
              <w:rPr>
                <w:rFonts w:hint="eastAsia" w:eastAsia="仿宋_GB2312" w:cs="仿宋_GB2312"/>
                <w:sz w:val="28"/>
                <w:szCs w:val="28"/>
                <w:lang w:val="en-US" w:eastAsia="zh-CN"/>
              </w:rPr>
            </w:pPr>
            <w:r>
              <w:rPr>
                <w:rFonts w:hint="eastAsia" w:eastAsia="仿宋_GB2312" w:cs="仿宋_GB2312"/>
                <w:sz w:val="28"/>
                <w:szCs w:val="28"/>
                <w:lang w:val="en-US" w:eastAsia="zh-CN"/>
              </w:rPr>
              <w:t>回顺民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生产地址</w:t>
            </w:r>
          </w:p>
        </w:tc>
        <w:tc>
          <w:tcPr>
            <w:tcW w:w="2552"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rPr>
              <w:t>河北省保定市白沟镇五一路北侧工业城</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生产周期</w:t>
            </w:r>
          </w:p>
        </w:tc>
        <w:tc>
          <w:tcPr>
            <w:tcW w:w="2835"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所属行业</w:t>
            </w:r>
          </w:p>
        </w:tc>
        <w:tc>
          <w:tcPr>
            <w:tcW w:w="2552"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制造业</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联系电话</w:t>
            </w:r>
          </w:p>
        </w:tc>
        <w:tc>
          <w:tcPr>
            <w:tcW w:w="2835"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15133299999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生产经营和管理服务的主要内容</w:t>
            </w:r>
          </w:p>
        </w:tc>
        <w:tc>
          <w:tcPr>
            <w:tcW w:w="7371" w:type="dxa"/>
            <w:gridSpan w:val="3"/>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生产销售橡胶制品，加工二楼6866-3避孕器械。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仿宋_GB2312"/>
                <w:sz w:val="28"/>
                <w:szCs w:val="28"/>
              </w:rPr>
            </w:pPr>
            <w:r>
              <w:rPr>
                <w:rFonts w:hint="eastAsia" w:eastAsia="仿宋_GB2312" w:cs="仿宋_GB2312"/>
                <w:sz w:val="28"/>
                <w:szCs w:val="28"/>
              </w:rPr>
              <w:t>主要产品</w:t>
            </w:r>
          </w:p>
        </w:tc>
        <w:tc>
          <w:tcPr>
            <w:tcW w:w="4819" w:type="dxa"/>
            <w:gridSpan w:val="2"/>
          </w:tcPr>
          <w:p>
            <w:pPr>
              <w:spacing w:line="620" w:lineRule="exact"/>
              <w:jc w:val="center"/>
              <w:rPr>
                <w:rFonts w:hint="eastAsia" w:eastAsia="仿宋_GB2312" w:cs="仿宋_GB2312"/>
                <w:sz w:val="28"/>
                <w:szCs w:val="28"/>
              </w:rPr>
            </w:pPr>
            <w:r>
              <w:rPr>
                <w:rFonts w:hint="eastAsia" w:eastAsia="仿宋_GB2312" w:cs="仿宋_GB2312"/>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天然橡胶胶乳男用避孕套</w:t>
            </w:r>
          </w:p>
        </w:tc>
        <w:tc>
          <w:tcPr>
            <w:tcW w:w="4819" w:type="dxa"/>
            <w:gridSpan w:val="2"/>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eastAsia="zh-CN"/>
              </w:rPr>
              <w:t>年产量</w:t>
            </w:r>
            <w:r>
              <w:rPr>
                <w:rFonts w:hint="eastAsia" w:eastAsia="仿宋_GB2312" w:cs="仿宋_GB2312"/>
                <w:sz w:val="28"/>
                <w:szCs w:val="28"/>
                <w:lang w:val="en-US" w:eastAsia="zh-CN"/>
              </w:rPr>
              <w:t>1.8亿只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spacing w:line="620" w:lineRule="exact"/>
              <w:jc w:val="center"/>
              <w:rPr>
                <w:rFonts w:hint="eastAsia" w:eastAsia="仿宋_GB2312" w:cs="仿宋_GB2312"/>
                <w:sz w:val="28"/>
                <w:szCs w:val="28"/>
              </w:rPr>
            </w:pPr>
          </w:p>
        </w:tc>
        <w:tc>
          <w:tcPr>
            <w:tcW w:w="4819" w:type="dxa"/>
            <w:gridSpan w:val="2"/>
            <w:vAlign w:val="center"/>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仿宋_GB2312"/>
                <w:sz w:val="28"/>
                <w:szCs w:val="28"/>
              </w:rPr>
            </w:pPr>
          </w:p>
        </w:tc>
        <w:tc>
          <w:tcPr>
            <w:tcW w:w="4819" w:type="dxa"/>
            <w:gridSpan w:val="2"/>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仿宋_GB2312"/>
                <w:sz w:val="28"/>
                <w:szCs w:val="28"/>
              </w:rPr>
            </w:pPr>
          </w:p>
        </w:tc>
        <w:tc>
          <w:tcPr>
            <w:tcW w:w="4819" w:type="dxa"/>
            <w:gridSpan w:val="2"/>
          </w:tcPr>
          <w:p>
            <w:pPr>
              <w:spacing w:line="620" w:lineRule="exact"/>
              <w:jc w:val="center"/>
              <w:rPr>
                <w:rFonts w:hint="eastAsia" w:eastAsia="仿宋_GB2312" w:cs="仿宋_GB2312"/>
                <w:sz w:val="28"/>
                <w:szCs w:val="28"/>
              </w:rPr>
            </w:pPr>
          </w:p>
        </w:tc>
      </w:tr>
    </w:tbl>
    <w:p>
      <w:pPr>
        <w:widowControl/>
        <w:jc w:val="left"/>
        <w:rPr>
          <w:rFonts w:hint="eastAsia" w:eastAsia="黑体" w:cs="Times New Roman"/>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二、排污信息</w:t>
      </w:r>
    </w:p>
    <w:tbl>
      <w:tblPr>
        <w:tblStyle w:val="27"/>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938"/>
        <w:gridCol w:w="1203"/>
        <w:gridCol w:w="782"/>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95" w:type="dxa"/>
            <w:gridSpan w:val="11"/>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9" w:type="dxa"/>
            <w:gridSpan w:val="6"/>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排放口数量</w:t>
            </w:r>
          </w:p>
        </w:tc>
        <w:tc>
          <w:tcPr>
            <w:tcW w:w="6486" w:type="dxa"/>
            <w:gridSpan w:val="5"/>
          </w:tcPr>
          <w:p>
            <w:pPr>
              <w:spacing w:line="620" w:lineRule="exact"/>
              <w:jc w:val="center"/>
              <w:rPr>
                <w:rFonts w:hint="eastAsia" w:eastAsia="仿宋_GB2312" w:cs="仿宋_GB2312"/>
                <w:sz w:val="24"/>
                <w:szCs w:val="24"/>
              </w:rPr>
            </w:pPr>
            <w:r>
              <w:rPr>
                <w:rFonts w:hint="eastAsia"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排放口编号或名称</w:t>
            </w:r>
          </w:p>
        </w:tc>
        <w:tc>
          <w:tcPr>
            <w:tcW w:w="1305"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排放口位置</w:t>
            </w:r>
          </w:p>
        </w:tc>
        <w:tc>
          <w:tcPr>
            <w:tcW w:w="99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排放方式</w:t>
            </w:r>
          </w:p>
        </w:tc>
        <w:tc>
          <w:tcPr>
            <w:tcW w:w="1560"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主要/特征污染物名称</w:t>
            </w:r>
          </w:p>
        </w:tc>
        <w:tc>
          <w:tcPr>
            <w:tcW w:w="113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排放浓度（mg/L ）</w:t>
            </w:r>
          </w:p>
        </w:tc>
        <w:tc>
          <w:tcPr>
            <w:tcW w:w="938"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监测</w:t>
            </w:r>
          </w:p>
          <w:p>
            <w:pPr>
              <w:spacing w:line="620" w:lineRule="exact"/>
              <w:jc w:val="center"/>
              <w:rPr>
                <w:rFonts w:hint="eastAsia" w:eastAsia="仿宋_GB2312" w:cs="仿宋_GB2312"/>
                <w:sz w:val="24"/>
                <w:szCs w:val="24"/>
              </w:rPr>
            </w:pPr>
            <w:r>
              <w:rPr>
                <w:rFonts w:hint="eastAsia" w:eastAsia="仿宋_GB2312" w:cs="仿宋_GB2312"/>
                <w:sz w:val="24"/>
                <w:szCs w:val="24"/>
              </w:rPr>
              <w:t>方式</w:t>
            </w:r>
          </w:p>
        </w:tc>
        <w:tc>
          <w:tcPr>
            <w:tcW w:w="12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监测</w:t>
            </w:r>
          </w:p>
          <w:p>
            <w:pPr>
              <w:spacing w:line="620" w:lineRule="exact"/>
              <w:jc w:val="center"/>
              <w:rPr>
                <w:rFonts w:hint="eastAsia" w:eastAsia="仿宋_GB2312" w:cs="仿宋_GB2312"/>
                <w:sz w:val="24"/>
                <w:szCs w:val="24"/>
              </w:rPr>
            </w:pPr>
            <w:r>
              <w:rPr>
                <w:rFonts w:hint="eastAsia" w:eastAsia="仿宋_GB2312" w:cs="仿宋_GB2312"/>
                <w:sz w:val="24"/>
                <w:szCs w:val="24"/>
              </w:rPr>
              <w:t>时间</w:t>
            </w:r>
          </w:p>
        </w:tc>
        <w:tc>
          <w:tcPr>
            <w:tcW w:w="782"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排放总量</w:t>
            </w:r>
          </w:p>
          <w:p>
            <w:pPr>
              <w:spacing w:line="620" w:lineRule="exact"/>
              <w:jc w:val="center"/>
              <w:rPr>
                <w:rFonts w:hint="eastAsia" w:eastAsia="仿宋_GB2312" w:cs="仿宋_GB2312"/>
                <w:sz w:val="24"/>
                <w:szCs w:val="24"/>
              </w:rPr>
            </w:pPr>
            <w:r>
              <w:rPr>
                <w:rFonts w:hint="eastAsia" w:eastAsia="仿宋_GB2312" w:cs="仿宋_GB2312"/>
                <w:sz w:val="24"/>
                <w:szCs w:val="24"/>
              </w:rPr>
              <w:t>(kg)</w:t>
            </w:r>
          </w:p>
        </w:tc>
        <w:tc>
          <w:tcPr>
            <w:tcW w:w="1275"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核定的排放总量（kg）</w:t>
            </w:r>
          </w:p>
        </w:tc>
        <w:tc>
          <w:tcPr>
            <w:tcW w:w="232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执行的污染物排放标准及浓度限值（mg/L）</w:t>
            </w:r>
          </w:p>
        </w:tc>
        <w:tc>
          <w:tcPr>
            <w:tcW w:w="9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是否</w:t>
            </w:r>
          </w:p>
          <w:p>
            <w:pPr>
              <w:spacing w:line="620" w:lineRule="exact"/>
              <w:jc w:val="center"/>
              <w:rPr>
                <w:rFonts w:hint="eastAsia" w:eastAsia="仿宋_GB2312" w:cs="仿宋_GB2312"/>
                <w:sz w:val="24"/>
                <w:szCs w:val="24"/>
              </w:rPr>
            </w:pPr>
            <w:r>
              <w:rPr>
                <w:rFonts w:hint="eastAsia" w:eastAsia="仿宋_GB2312" w:cs="仿宋_GB2312"/>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78" w:type="dxa"/>
            <w:vMerge w:val="restart"/>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废水排放口</w:t>
            </w:r>
          </w:p>
        </w:tc>
        <w:tc>
          <w:tcPr>
            <w:tcW w:w="1305" w:type="dxa"/>
            <w:vMerge w:val="restart"/>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经度</w:t>
            </w:r>
            <w:r>
              <w:rPr>
                <w:rFonts w:hint="eastAsia" w:ascii="仿宋" w:hAnsi="仿宋" w:eastAsia="仿宋" w:cs="仿宋"/>
                <w:sz w:val="24"/>
                <w:szCs w:val="24"/>
                <w:lang w:val="en-US" w:eastAsia="zh-CN"/>
              </w:rPr>
              <w:t>116.051525</w:t>
            </w:r>
          </w:p>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纬度39.130700</w:t>
            </w:r>
          </w:p>
        </w:tc>
        <w:tc>
          <w:tcPr>
            <w:tcW w:w="994" w:type="dxa"/>
            <w:vMerge w:val="restart"/>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间接排水</w:t>
            </w:r>
          </w:p>
        </w:tc>
        <w:tc>
          <w:tcPr>
            <w:tcW w:w="1560"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COD</w:t>
            </w:r>
          </w:p>
        </w:tc>
        <w:tc>
          <w:tcPr>
            <w:tcW w:w="113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160</w:t>
            </w:r>
          </w:p>
        </w:tc>
        <w:tc>
          <w:tcPr>
            <w:tcW w:w="938" w:type="dxa"/>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手动</w:t>
            </w:r>
          </w:p>
        </w:tc>
        <w:tc>
          <w:tcPr>
            <w:tcW w:w="1203" w:type="dxa"/>
            <w:vAlign w:val="center"/>
          </w:tcPr>
          <w:p>
            <w:pPr>
              <w:spacing w:line="620" w:lineRule="exact"/>
              <w:ind w:right="-204" w:rightChars="-97"/>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2021年4月7日</w:t>
            </w:r>
          </w:p>
        </w:tc>
        <w:tc>
          <w:tcPr>
            <w:tcW w:w="78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1236.5</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3708</w:t>
            </w:r>
          </w:p>
        </w:tc>
        <w:tc>
          <w:tcPr>
            <w:tcW w:w="2323"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w:t>
            </w:r>
          </w:p>
        </w:tc>
        <w:tc>
          <w:tcPr>
            <w:tcW w:w="903" w:type="dxa"/>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78" w:type="dxa"/>
            <w:vMerge w:val="continue"/>
            <w:vAlign w:val="center"/>
          </w:tcPr>
          <w:p>
            <w:pPr>
              <w:spacing w:line="620" w:lineRule="exact"/>
              <w:jc w:val="center"/>
              <w:rPr>
                <w:rFonts w:hint="eastAsia" w:ascii="仿宋" w:hAnsi="仿宋" w:eastAsia="仿宋" w:cs="仿宋"/>
                <w:sz w:val="24"/>
                <w:szCs w:val="24"/>
              </w:rPr>
            </w:pPr>
          </w:p>
        </w:tc>
        <w:tc>
          <w:tcPr>
            <w:tcW w:w="1305" w:type="dxa"/>
            <w:vMerge w:val="continue"/>
            <w:vAlign w:val="center"/>
          </w:tcPr>
          <w:p>
            <w:pPr>
              <w:spacing w:line="620" w:lineRule="exact"/>
              <w:jc w:val="center"/>
              <w:rPr>
                <w:rFonts w:hint="eastAsia" w:ascii="仿宋" w:hAnsi="仿宋" w:eastAsia="仿宋" w:cs="仿宋"/>
                <w:sz w:val="24"/>
                <w:szCs w:val="24"/>
              </w:rPr>
            </w:pPr>
          </w:p>
        </w:tc>
        <w:tc>
          <w:tcPr>
            <w:tcW w:w="994" w:type="dxa"/>
            <w:vMerge w:val="continue"/>
            <w:vAlign w:val="center"/>
          </w:tcPr>
          <w:p>
            <w:pPr>
              <w:spacing w:line="620" w:lineRule="exact"/>
              <w:jc w:val="center"/>
              <w:rPr>
                <w:rFonts w:hint="eastAsia" w:ascii="仿宋" w:hAnsi="仿宋" w:eastAsia="仿宋" w:cs="仿宋"/>
                <w:sz w:val="24"/>
                <w:szCs w:val="24"/>
              </w:rPr>
            </w:pPr>
          </w:p>
        </w:tc>
        <w:tc>
          <w:tcPr>
            <w:tcW w:w="1560"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氨氮</w:t>
            </w:r>
          </w:p>
        </w:tc>
        <w:tc>
          <w:tcPr>
            <w:tcW w:w="113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938" w:type="dxa"/>
            <w:vAlign w:val="center"/>
          </w:tcPr>
          <w:p>
            <w:pPr>
              <w:spacing w:line="620" w:lineRule="exact"/>
              <w:jc w:val="center"/>
              <w:rPr>
                <w:rFonts w:hint="eastAsia" w:ascii="仿宋" w:hAnsi="仿宋" w:eastAsia="仿宋" w:cs="仿宋"/>
                <w:sz w:val="24"/>
                <w:szCs w:val="24"/>
              </w:rPr>
            </w:pPr>
            <w:r>
              <w:rPr>
                <w:rFonts w:hint="eastAsia" w:ascii="仿宋" w:hAnsi="仿宋" w:eastAsia="仿宋" w:cs="仿宋"/>
                <w:sz w:val="24"/>
                <w:szCs w:val="24"/>
                <w:lang w:eastAsia="zh-CN"/>
              </w:rPr>
              <w:t>手动</w:t>
            </w:r>
          </w:p>
        </w:tc>
        <w:tc>
          <w:tcPr>
            <w:tcW w:w="1203" w:type="dxa"/>
            <w:vAlign w:val="center"/>
          </w:tcPr>
          <w:p>
            <w:pPr>
              <w:spacing w:line="62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2021年4月7日</w:t>
            </w:r>
          </w:p>
        </w:tc>
        <w:tc>
          <w:tcPr>
            <w:tcW w:w="78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125.8</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355</w:t>
            </w:r>
          </w:p>
        </w:tc>
        <w:tc>
          <w:tcPr>
            <w:tcW w:w="2323"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903" w:type="dxa"/>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620" w:lineRule="exact"/>
              <w:jc w:val="center"/>
              <w:rPr>
                <w:rFonts w:hint="eastAsia" w:ascii="仿宋" w:hAnsi="仿宋" w:eastAsia="仿宋" w:cs="仿宋"/>
                <w:sz w:val="24"/>
                <w:szCs w:val="24"/>
              </w:rPr>
            </w:pPr>
          </w:p>
        </w:tc>
        <w:tc>
          <w:tcPr>
            <w:tcW w:w="1305" w:type="dxa"/>
            <w:vMerge w:val="continue"/>
            <w:vAlign w:val="center"/>
          </w:tcPr>
          <w:p>
            <w:pPr>
              <w:spacing w:line="620" w:lineRule="exact"/>
              <w:jc w:val="center"/>
              <w:rPr>
                <w:rFonts w:hint="eastAsia" w:ascii="仿宋" w:hAnsi="仿宋" w:eastAsia="仿宋" w:cs="仿宋"/>
                <w:sz w:val="24"/>
                <w:szCs w:val="24"/>
              </w:rPr>
            </w:pPr>
          </w:p>
        </w:tc>
        <w:tc>
          <w:tcPr>
            <w:tcW w:w="994" w:type="dxa"/>
            <w:vMerge w:val="continue"/>
            <w:vAlign w:val="center"/>
          </w:tcPr>
          <w:p>
            <w:pPr>
              <w:spacing w:line="620" w:lineRule="exact"/>
              <w:jc w:val="center"/>
              <w:rPr>
                <w:rFonts w:hint="eastAsia" w:ascii="仿宋" w:hAnsi="仿宋" w:eastAsia="仿宋" w:cs="仿宋"/>
                <w:sz w:val="24"/>
                <w:szCs w:val="24"/>
              </w:rPr>
            </w:pPr>
          </w:p>
        </w:tc>
        <w:tc>
          <w:tcPr>
            <w:tcW w:w="1560"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TN</w:t>
            </w:r>
          </w:p>
        </w:tc>
        <w:tc>
          <w:tcPr>
            <w:tcW w:w="113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938" w:type="dxa"/>
            <w:vAlign w:val="center"/>
          </w:tcPr>
          <w:p>
            <w:pPr>
              <w:spacing w:line="620" w:lineRule="exact"/>
              <w:jc w:val="center"/>
              <w:rPr>
                <w:rFonts w:hint="eastAsia" w:ascii="仿宋" w:hAnsi="仿宋" w:eastAsia="仿宋" w:cs="仿宋"/>
                <w:sz w:val="24"/>
                <w:szCs w:val="24"/>
              </w:rPr>
            </w:pPr>
            <w:r>
              <w:rPr>
                <w:rFonts w:hint="eastAsia" w:ascii="仿宋" w:hAnsi="仿宋" w:eastAsia="仿宋" w:cs="仿宋"/>
                <w:sz w:val="24"/>
                <w:szCs w:val="24"/>
                <w:lang w:eastAsia="zh-CN"/>
              </w:rPr>
              <w:t>手动</w:t>
            </w:r>
          </w:p>
        </w:tc>
        <w:tc>
          <w:tcPr>
            <w:tcW w:w="1203" w:type="dxa"/>
            <w:vAlign w:val="center"/>
          </w:tcPr>
          <w:p>
            <w:pPr>
              <w:spacing w:line="62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2021年4月7日</w:t>
            </w:r>
          </w:p>
        </w:tc>
        <w:tc>
          <w:tcPr>
            <w:tcW w:w="78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164.92</w:t>
            </w:r>
          </w:p>
        </w:tc>
        <w:tc>
          <w:tcPr>
            <w:tcW w:w="1275" w:type="dxa"/>
            <w:vAlign w:val="center"/>
          </w:tcPr>
          <w:p>
            <w:pPr>
              <w:keepNext w:val="0"/>
              <w:keepLines w:val="0"/>
              <w:widowControl/>
              <w:suppressLineNumbers w:val="0"/>
              <w:ind w:firstLine="440" w:firstLineChars="20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465</w:t>
            </w:r>
          </w:p>
        </w:tc>
        <w:tc>
          <w:tcPr>
            <w:tcW w:w="2323"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903" w:type="dxa"/>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pacing w:line="620" w:lineRule="exact"/>
              <w:jc w:val="center"/>
              <w:rPr>
                <w:rFonts w:hint="eastAsia" w:ascii="仿宋" w:hAnsi="仿宋" w:eastAsia="仿宋" w:cs="仿宋"/>
                <w:sz w:val="24"/>
                <w:szCs w:val="24"/>
              </w:rPr>
            </w:pPr>
          </w:p>
        </w:tc>
        <w:tc>
          <w:tcPr>
            <w:tcW w:w="1305" w:type="dxa"/>
            <w:vMerge w:val="restart"/>
            <w:vAlign w:val="center"/>
          </w:tcPr>
          <w:p>
            <w:pPr>
              <w:spacing w:line="620" w:lineRule="exact"/>
              <w:jc w:val="center"/>
              <w:rPr>
                <w:rFonts w:hint="eastAsia" w:ascii="仿宋" w:hAnsi="仿宋" w:eastAsia="仿宋" w:cs="仿宋"/>
                <w:sz w:val="24"/>
                <w:szCs w:val="24"/>
              </w:rPr>
            </w:pPr>
          </w:p>
        </w:tc>
        <w:tc>
          <w:tcPr>
            <w:tcW w:w="994" w:type="dxa"/>
            <w:vMerge w:val="restart"/>
            <w:vAlign w:val="center"/>
          </w:tcPr>
          <w:p>
            <w:pPr>
              <w:spacing w:line="620" w:lineRule="exact"/>
              <w:jc w:val="center"/>
              <w:rPr>
                <w:rFonts w:hint="eastAsia" w:ascii="仿宋" w:hAnsi="仿宋" w:eastAsia="仿宋" w:cs="仿宋"/>
                <w:sz w:val="24"/>
                <w:szCs w:val="24"/>
              </w:rPr>
            </w:pPr>
          </w:p>
        </w:tc>
        <w:tc>
          <w:tcPr>
            <w:tcW w:w="1560" w:type="dxa"/>
            <w:vAlign w:val="center"/>
          </w:tcPr>
          <w:p>
            <w:pPr>
              <w:spacing w:line="620" w:lineRule="exact"/>
              <w:jc w:val="center"/>
              <w:rPr>
                <w:rFonts w:hint="eastAsia" w:ascii="仿宋" w:hAnsi="仿宋" w:eastAsia="仿宋" w:cs="仿宋"/>
                <w:sz w:val="24"/>
                <w:szCs w:val="24"/>
              </w:rPr>
            </w:pPr>
          </w:p>
        </w:tc>
        <w:tc>
          <w:tcPr>
            <w:tcW w:w="1134" w:type="dxa"/>
            <w:vAlign w:val="center"/>
          </w:tcPr>
          <w:p>
            <w:pPr>
              <w:spacing w:line="620" w:lineRule="exact"/>
              <w:jc w:val="center"/>
              <w:rPr>
                <w:rFonts w:hint="eastAsia" w:ascii="仿宋" w:hAnsi="仿宋" w:eastAsia="仿宋" w:cs="仿宋"/>
                <w:sz w:val="24"/>
                <w:szCs w:val="24"/>
              </w:rPr>
            </w:pPr>
          </w:p>
        </w:tc>
        <w:tc>
          <w:tcPr>
            <w:tcW w:w="938" w:type="dxa"/>
            <w:vAlign w:val="center"/>
          </w:tcPr>
          <w:p>
            <w:pPr>
              <w:spacing w:line="620" w:lineRule="exact"/>
              <w:jc w:val="center"/>
              <w:rPr>
                <w:rFonts w:hint="eastAsia" w:ascii="仿宋" w:hAnsi="仿宋" w:eastAsia="仿宋" w:cs="仿宋"/>
                <w:sz w:val="24"/>
                <w:szCs w:val="24"/>
              </w:rPr>
            </w:pPr>
          </w:p>
        </w:tc>
        <w:tc>
          <w:tcPr>
            <w:tcW w:w="1203" w:type="dxa"/>
            <w:vAlign w:val="center"/>
          </w:tcPr>
          <w:p>
            <w:pPr>
              <w:spacing w:line="620" w:lineRule="exact"/>
              <w:jc w:val="center"/>
              <w:rPr>
                <w:rFonts w:hint="eastAsia" w:ascii="仿宋" w:hAnsi="仿宋" w:eastAsia="仿宋" w:cs="仿宋"/>
                <w:sz w:val="24"/>
                <w:szCs w:val="24"/>
              </w:rPr>
            </w:pPr>
          </w:p>
        </w:tc>
        <w:tc>
          <w:tcPr>
            <w:tcW w:w="782" w:type="dxa"/>
            <w:vAlign w:val="center"/>
          </w:tcPr>
          <w:p>
            <w:pPr>
              <w:spacing w:line="620" w:lineRule="exact"/>
              <w:jc w:val="center"/>
              <w:rPr>
                <w:rFonts w:hint="eastAsia" w:ascii="仿宋" w:hAnsi="仿宋" w:eastAsia="仿宋" w:cs="仿宋"/>
                <w:sz w:val="24"/>
                <w:szCs w:val="24"/>
              </w:rPr>
            </w:pPr>
          </w:p>
        </w:tc>
        <w:tc>
          <w:tcPr>
            <w:tcW w:w="1275" w:type="dxa"/>
            <w:vAlign w:val="center"/>
          </w:tcPr>
          <w:p>
            <w:pPr>
              <w:spacing w:line="620" w:lineRule="exact"/>
              <w:jc w:val="center"/>
              <w:rPr>
                <w:rFonts w:hint="eastAsia" w:ascii="仿宋" w:hAnsi="仿宋" w:eastAsia="仿宋" w:cs="仿宋"/>
                <w:sz w:val="24"/>
                <w:szCs w:val="24"/>
              </w:rPr>
            </w:pPr>
          </w:p>
        </w:tc>
        <w:tc>
          <w:tcPr>
            <w:tcW w:w="2323" w:type="dxa"/>
            <w:vAlign w:val="center"/>
          </w:tcPr>
          <w:p>
            <w:pPr>
              <w:spacing w:line="620" w:lineRule="exact"/>
              <w:jc w:val="center"/>
              <w:rPr>
                <w:rFonts w:hint="eastAsia" w:ascii="仿宋" w:hAnsi="仿宋" w:eastAsia="仿宋" w:cs="仿宋"/>
                <w:sz w:val="24"/>
                <w:szCs w:val="24"/>
              </w:rPr>
            </w:pPr>
          </w:p>
        </w:tc>
        <w:tc>
          <w:tcPr>
            <w:tcW w:w="903" w:type="dxa"/>
            <w:vAlign w:val="center"/>
          </w:tcPr>
          <w:p>
            <w:pPr>
              <w:spacing w:line="6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620" w:lineRule="exact"/>
              <w:jc w:val="center"/>
              <w:rPr>
                <w:rFonts w:hint="eastAsia" w:eastAsia="仿宋_GB2312" w:cs="仿宋_GB2312"/>
                <w:sz w:val="28"/>
                <w:szCs w:val="28"/>
              </w:rPr>
            </w:pPr>
          </w:p>
        </w:tc>
        <w:tc>
          <w:tcPr>
            <w:tcW w:w="1305" w:type="dxa"/>
            <w:vMerge w:val="continue"/>
            <w:vAlign w:val="center"/>
          </w:tcPr>
          <w:p>
            <w:pPr>
              <w:spacing w:line="620" w:lineRule="exact"/>
              <w:jc w:val="center"/>
              <w:rPr>
                <w:rFonts w:hint="eastAsia" w:eastAsia="仿宋_GB2312" w:cs="仿宋_GB2312"/>
                <w:sz w:val="28"/>
                <w:szCs w:val="28"/>
              </w:rPr>
            </w:pPr>
          </w:p>
        </w:tc>
        <w:tc>
          <w:tcPr>
            <w:tcW w:w="994" w:type="dxa"/>
            <w:vMerge w:val="continue"/>
            <w:vAlign w:val="center"/>
          </w:tcPr>
          <w:p>
            <w:pPr>
              <w:spacing w:line="620" w:lineRule="exact"/>
              <w:jc w:val="center"/>
              <w:rPr>
                <w:rFonts w:hint="eastAsia" w:eastAsia="仿宋_GB2312" w:cs="仿宋_GB2312"/>
                <w:sz w:val="28"/>
                <w:szCs w:val="28"/>
              </w:rPr>
            </w:pPr>
          </w:p>
        </w:tc>
        <w:tc>
          <w:tcPr>
            <w:tcW w:w="1560" w:type="dxa"/>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w:t>
            </w:r>
          </w:p>
        </w:tc>
        <w:tc>
          <w:tcPr>
            <w:tcW w:w="1134" w:type="dxa"/>
            <w:vAlign w:val="center"/>
          </w:tcPr>
          <w:p>
            <w:pPr>
              <w:spacing w:line="620" w:lineRule="exact"/>
              <w:jc w:val="center"/>
              <w:rPr>
                <w:rFonts w:hint="eastAsia" w:eastAsia="仿宋_GB2312" w:cs="仿宋_GB2312"/>
                <w:sz w:val="28"/>
                <w:szCs w:val="28"/>
              </w:rPr>
            </w:pPr>
          </w:p>
        </w:tc>
        <w:tc>
          <w:tcPr>
            <w:tcW w:w="938" w:type="dxa"/>
            <w:vAlign w:val="center"/>
          </w:tcPr>
          <w:p>
            <w:pPr>
              <w:spacing w:line="620" w:lineRule="exact"/>
              <w:jc w:val="center"/>
              <w:rPr>
                <w:rFonts w:hint="eastAsia" w:eastAsia="仿宋_GB2312" w:cs="仿宋_GB2312"/>
                <w:sz w:val="28"/>
                <w:szCs w:val="28"/>
              </w:rPr>
            </w:pPr>
          </w:p>
        </w:tc>
        <w:tc>
          <w:tcPr>
            <w:tcW w:w="1203" w:type="dxa"/>
            <w:vAlign w:val="center"/>
          </w:tcPr>
          <w:p>
            <w:pPr>
              <w:spacing w:line="620" w:lineRule="exact"/>
              <w:jc w:val="center"/>
              <w:rPr>
                <w:rFonts w:hint="eastAsia" w:eastAsia="仿宋_GB2312" w:cs="仿宋_GB2312"/>
                <w:sz w:val="28"/>
                <w:szCs w:val="28"/>
              </w:rPr>
            </w:pPr>
          </w:p>
        </w:tc>
        <w:tc>
          <w:tcPr>
            <w:tcW w:w="782" w:type="dxa"/>
            <w:vAlign w:val="center"/>
          </w:tcPr>
          <w:p>
            <w:pPr>
              <w:spacing w:line="620" w:lineRule="exact"/>
              <w:jc w:val="center"/>
              <w:rPr>
                <w:rFonts w:hint="eastAsia" w:eastAsia="仿宋_GB2312" w:cs="仿宋_GB2312"/>
                <w:sz w:val="28"/>
                <w:szCs w:val="28"/>
              </w:rPr>
            </w:pPr>
          </w:p>
        </w:tc>
        <w:tc>
          <w:tcPr>
            <w:tcW w:w="1275" w:type="dxa"/>
            <w:vAlign w:val="center"/>
          </w:tcPr>
          <w:p>
            <w:pPr>
              <w:spacing w:line="620" w:lineRule="exact"/>
              <w:jc w:val="center"/>
              <w:rPr>
                <w:rFonts w:hint="eastAsia" w:eastAsia="仿宋_GB2312" w:cs="仿宋_GB2312"/>
                <w:sz w:val="28"/>
                <w:szCs w:val="28"/>
              </w:rPr>
            </w:pPr>
          </w:p>
        </w:tc>
        <w:tc>
          <w:tcPr>
            <w:tcW w:w="2323" w:type="dxa"/>
            <w:vAlign w:val="center"/>
          </w:tcPr>
          <w:p>
            <w:pPr>
              <w:spacing w:line="620" w:lineRule="exact"/>
              <w:jc w:val="center"/>
              <w:rPr>
                <w:rFonts w:hint="eastAsia" w:eastAsia="仿宋_GB2312" w:cs="仿宋_GB2312"/>
                <w:sz w:val="28"/>
                <w:szCs w:val="28"/>
              </w:rPr>
            </w:pPr>
          </w:p>
        </w:tc>
        <w:tc>
          <w:tcPr>
            <w:tcW w:w="903" w:type="dxa"/>
            <w:vAlign w:val="center"/>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w:t>
            </w:r>
          </w:p>
        </w:tc>
        <w:tc>
          <w:tcPr>
            <w:tcW w:w="1305" w:type="dxa"/>
            <w:vMerge w:val="restart"/>
            <w:vAlign w:val="center"/>
          </w:tcPr>
          <w:p>
            <w:pPr>
              <w:spacing w:line="620" w:lineRule="exact"/>
              <w:jc w:val="center"/>
              <w:rPr>
                <w:rFonts w:hint="eastAsia" w:eastAsia="仿宋_GB2312" w:cs="仿宋_GB2312"/>
                <w:sz w:val="28"/>
                <w:szCs w:val="28"/>
              </w:rPr>
            </w:pPr>
          </w:p>
        </w:tc>
        <w:tc>
          <w:tcPr>
            <w:tcW w:w="994" w:type="dxa"/>
            <w:vMerge w:val="restart"/>
            <w:vAlign w:val="center"/>
          </w:tcPr>
          <w:p>
            <w:pPr>
              <w:spacing w:line="620" w:lineRule="exact"/>
              <w:jc w:val="center"/>
              <w:rPr>
                <w:rFonts w:hint="eastAsia" w:eastAsia="仿宋_GB2312" w:cs="仿宋_GB2312"/>
                <w:sz w:val="28"/>
                <w:szCs w:val="28"/>
              </w:rPr>
            </w:pPr>
          </w:p>
        </w:tc>
        <w:tc>
          <w:tcPr>
            <w:tcW w:w="1560" w:type="dxa"/>
            <w:vAlign w:val="center"/>
          </w:tcPr>
          <w:p>
            <w:pPr>
              <w:spacing w:line="620" w:lineRule="exact"/>
              <w:jc w:val="center"/>
              <w:rPr>
                <w:rFonts w:hint="eastAsia" w:eastAsia="仿宋_GB2312" w:cs="仿宋_GB2312"/>
                <w:sz w:val="28"/>
                <w:szCs w:val="28"/>
              </w:rPr>
            </w:pPr>
          </w:p>
        </w:tc>
        <w:tc>
          <w:tcPr>
            <w:tcW w:w="1134" w:type="dxa"/>
            <w:vAlign w:val="center"/>
          </w:tcPr>
          <w:p>
            <w:pPr>
              <w:spacing w:line="620" w:lineRule="exact"/>
              <w:jc w:val="center"/>
              <w:rPr>
                <w:rFonts w:hint="eastAsia" w:eastAsia="仿宋_GB2312" w:cs="仿宋_GB2312"/>
                <w:sz w:val="28"/>
                <w:szCs w:val="28"/>
              </w:rPr>
            </w:pPr>
          </w:p>
        </w:tc>
        <w:tc>
          <w:tcPr>
            <w:tcW w:w="938" w:type="dxa"/>
            <w:vAlign w:val="center"/>
          </w:tcPr>
          <w:p>
            <w:pPr>
              <w:spacing w:line="620" w:lineRule="exact"/>
              <w:jc w:val="center"/>
              <w:rPr>
                <w:rFonts w:hint="eastAsia" w:eastAsia="仿宋_GB2312" w:cs="仿宋_GB2312"/>
                <w:sz w:val="28"/>
                <w:szCs w:val="28"/>
              </w:rPr>
            </w:pPr>
          </w:p>
        </w:tc>
        <w:tc>
          <w:tcPr>
            <w:tcW w:w="1203" w:type="dxa"/>
            <w:vAlign w:val="center"/>
          </w:tcPr>
          <w:p>
            <w:pPr>
              <w:spacing w:line="620" w:lineRule="exact"/>
              <w:jc w:val="center"/>
              <w:rPr>
                <w:rFonts w:hint="eastAsia" w:eastAsia="仿宋_GB2312" w:cs="仿宋_GB2312"/>
                <w:sz w:val="28"/>
                <w:szCs w:val="28"/>
              </w:rPr>
            </w:pPr>
          </w:p>
        </w:tc>
        <w:tc>
          <w:tcPr>
            <w:tcW w:w="782" w:type="dxa"/>
            <w:vAlign w:val="center"/>
          </w:tcPr>
          <w:p>
            <w:pPr>
              <w:spacing w:line="620" w:lineRule="exact"/>
              <w:jc w:val="center"/>
              <w:rPr>
                <w:rFonts w:hint="eastAsia" w:eastAsia="仿宋_GB2312" w:cs="仿宋_GB2312"/>
                <w:sz w:val="28"/>
                <w:szCs w:val="28"/>
              </w:rPr>
            </w:pPr>
          </w:p>
        </w:tc>
        <w:tc>
          <w:tcPr>
            <w:tcW w:w="1275" w:type="dxa"/>
            <w:vAlign w:val="center"/>
          </w:tcPr>
          <w:p>
            <w:pPr>
              <w:spacing w:line="620" w:lineRule="exact"/>
              <w:jc w:val="center"/>
              <w:rPr>
                <w:rFonts w:hint="eastAsia" w:eastAsia="仿宋_GB2312" w:cs="仿宋_GB2312"/>
                <w:sz w:val="28"/>
                <w:szCs w:val="28"/>
              </w:rPr>
            </w:pPr>
          </w:p>
        </w:tc>
        <w:tc>
          <w:tcPr>
            <w:tcW w:w="2323" w:type="dxa"/>
            <w:vAlign w:val="center"/>
          </w:tcPr>
          <w:p>
            <w:pPr>
              <w:spacing w:line="620" w:lineRule="exact"/>
              <w:jc w:val="center"/>
              <w:rPr>
                <w:rFonts w:hint="eastAsia" w:eastAsia="仿宋_GB2312" w:cs="仿宋_GB2312"/>
                <w:sz w:val="28"/>
                <w:szCs w:val="28"/>
              </w:rPr>
            </w:pPr>
          </w:p>
        </w:tc>
        <w:tc>
          <w:tcPr>
            <w:tcW w:w="903" w:type="dxa"/>
            <w:vAlign w:val="center"/>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620" w:lineRule="exact"/>
              <w:jc w:val="center"/>
              <w:rPr>
                <w:rFonts w:hint="eastAsia" w:eastAsia="仿宋_GB2312" w:cs="仿宋_GB2312"/>
                <w:sz w:val="28"/>
                <w:szCs w:val="28"/>
              </w:rPr>
            </w:pPr>
          </w:p>
        </w:tc>
        <w:tc>
          <w:tcPr>
            <w:tcW w:w="1305" w:type="dxa"/>
            <w:vMerge w:val="continue"/>
            <w:vAlign w:val="center"/>
          </w:tcPr>
          <w:p>
            <w:pPr>
              <w:spacing w:line="620" w:lineRule="exact"/>
              <w:jc w:val="center"/>
              <w:rPr>
                <w:rFonts w:hint="eastAsia" w:eastAsia="仿宋_GB2312" w:cs="仿宋_GB2312"/>
                <w:sz w:val="28"/>
                <w:szCs w:val="28"/>
              </w:rPr>
            </w:pPr>
          </w:p>
        </w:tc>
        <w:tc>
          <w:tcPr>
            <w:tcW w:w="994" w:type="dxa"/>
            <w:vMerge w:val="continue"/>
            <w:vAlign w:val="center"/>
          </w:tcPr>
          <w:p>
            <w:pPr>
              <w:spacing w:line="620" w:lineRule="exact"/>
              <w:jc w:val="center"/>
              <w:rPr>
                <w:rFonts w:hint="eastAsia" w:eastAsia="仿宋_GB2312" w:cs="仿宋_GB2312"/>
                <w:sz w:val="28"/>
                <w:szCs w:val="28"/>
              </w:rPr>
            </w:pPr>
          </w:p>
        </w:tc>
        <w:tc>
          <w:tcPr>
            <w:tcW w:w="1560" w:type="dxa"/>
            <w:vAlign w:val="center"/>
          </w:tcPr>
          <w:p>
            <w:pPr>
              <w:spacing w:line="620" w:lineRule="exact"/>
              <w:jc w:val="center"/>
              <w:rPr>
                <w:rFonts w:hint="eastAsia" w:eastAsia="仿宋_GB2312" w:cs="仿宋_GB2312"/>
                <w:sz w:val="28"/>
                <w:szCs w:val="28"/>
              </w:rPr>
            </w:pPr>
          </w:p>
        </w:tc>
        <w:tc>
          <w:tcPr>
            <w:tcW w:w="1134" w:type="dxa"/>
            <w:vAlign w:val="center"/>
          </w:tcPr>
          <w:p>
            <w:pPr>
              <w:spacing w:line="620" w:lineRule="exact"/>
              <w:jc w:val="center"/>
              <w:rPr>
                <w:rFonts w:hint="eastAsia" w:eastAsia="仿宋_GB2312" w:cs="仿宋_GB2312"/>
                <w:sz w:val="28"/>
                <w:szCs w:val="28"/>
              </w:rPr>
            </w:pPr>
          </w:p>
        </w:tc>
        <w:tc>
          <w:tcPr>
            <w:tcW w:w="938" w:type="dxa"/>
            <w:vAlign w:val="center"/>
          </w:tcPr>
          <w:p>
            <w:pPr>
              <w:spacing w:line="620" w:lineRule="exact"/>
              <w:jc w:val="center"/>
              <w:rPr>
                <w:rFonts w:hint="eastAsia" w:eastAsia="仿宋_GB2312" w:cs="仿宋_GB2312"/>
                <w:sz w:val="28"/>
                <w:szCs w:val="28"/>
              </w:rPr>
            </w:pPr>
          </w:p>
        </w:tc>
        <w:tc>
          <w:tcPr>
            <w:tcW w:w="1203" w:type="dxa"/>
            <w:vAlign w:val="center"/>
          </w:tcPr>
          <w:p>
            <w:pPr>
              <w:spacing w:line="620" w:lineRule="exact"/>
              <w:jc w:val="center"/>
              <w:rPr>
                <w:rFonts w:hint="eastAsia" w:eastAsia="仿宋_GB2312" w:cs="仿宋_GB2312"/>
                <w:sz w:val="28"/>
                <w:szCs w:val="28"/>
              </w:rPr>
            </w:pPr>
          </w:p>
        </w:tc>
        <w:tc>
          <w:tcPr>
            <w:tcW w:w="782" w:type="dxa"/>
            <w:vAlign w:val="center"/>
          </w:tcPr>
          <w:p>
            <w:pPr>
              <w:spacing w:line="620" w:lineRule="exact"/>
              <w:jc w:val="center"/>
              <w:rPr>
                <w:rFonts w:hint="eastAsia" w:eastAsia="仿宋_GB2312" w:cs="仿宋_GB2312"/>
                <w:sz w:val="28"/>
                <w:szCs w:val="28"/>
              </w:rPr>
            </w:pPr>
          </w:p>
        </w:tc>
        <w:tc>
          <w:tcPr>
            <w:tcW w:w="1275" w:type="dxa"/>
            <w:vAlign w:val="center"/>
          </w:tcPr>
          <w:p>
            <w:pPr>
              <w:spacing w:line="620" w:lineRule="exact"/>
              <w:jc w:val="center"/>
              <w:rPr>
                <w:rFonts w:hint="eastAsia" w:eastAsia="仿宋_GB2312" w:cs="仿宋_GB2312"/>
                <w:sz w:val="28"/>
                <w:szCs w:val="28"/>
              </w:rPr>
            </w:pPr>
          </w:p>
        </w:tc>
        <w:tc>
          <w:tcPr>
            <w:tcW w:w="2323" w:type="dxa"/>
            <w:vAlign w:val="center"/>
          </w:tcPr>
          <w:p>
            <w:pPr>
              <w:spacing w:line="620" w:lineRule="exact"/>
              <w:jc w:val="center"/>
              <w:rPr>
                <w:rFonts w:hint="eastAsia" w:eastAsia="仿宋_GB2312" w:cs="仿宋_GB2312"/>
                <w:sz w:val="28"/>
                <w:szCs w:val="28"/>
              </w:rPr>
            </w:pPr>
          </w:p>
        </w:tc>
        <w:tc>
          <w:tcPr>
            <w:tcW w:w="903" w:type="dxa"/>
            <w:vAlign w:val="center"/>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620" w:lineRule="exact"/>
              <w:jc w:val="center"/>
              <w:rPr>
                <w:rFonts w:hint="eastAsia" w:eastAsia="仿宋_GB2312" w:cs="仿宋_GB2312"/>
                <w:sz w:val="28"/>
                <w:szCs w:val="28"/>
              </w:rPr>
            </w:pPr>
          </w:p>
        </w:tc>
        <w:tc>
          <w:tcPr>
            <w:tcW w:w="1305" w:type="dxa"/>
            <w:vMerge w:val="continue"/>
            <w:vAlign w:val="center"/>
          </w:tcPr>
          <w:p>
            <w:pPr>
              <w:spacing w:line="620" w:lineRule="exact"/>
              <w:jc w:val="center"/>
              <w:rPr>
                <w:rFonts w:hint="eastAsia" w:eastAsia="仿宋_GB2312" w:cs="仿宋_GB2312"/>
                <w:sz w:val="28"/>
                <w:szCs w:val="28"/>
              </w:rPr>
            </w:pPr>
          </w:p>
        </w:tc>
        <w:tc>
          <w:tcPr>
            <w:tcW w:w="994" w:type="dxa"/>
            <w:vMerge w:val="continue"/>
            <w:vAlign w:val="center"/>
          </w:tcPr>
          <w:p>
            <w:pPr>
              <w:spacing w:line="620" w:lineRule="exact"/>
              <w:jc w:val="center"/>
              <w:rPr>
                <w:rFonts w:hint="eastAsia" w:eastAsia="仿宋_GB2312" w:cs="仿宋_GB2312"/>
                <w:sz w:val="28"/>
                <w:szCs w:val="28"/>
              </w:rPr>
            </w:pPr>
          </w:p>
        </w:tc>
        <w:tc>
          <w:tcPr>
            <w:tcW w:w="1560" w:type="dxa"/>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w:t>
            </w:r>
          </w:p>
        </w:tc>
        <w:tc>
          <w:tcPr>
            <w:tcW w:w="1134" w:type="dxa"/>
            <w:vAlign w:val="center"/>
          </w:tcPr>
          <w:p>
            <w:pPr>
              <w:spacing w:line="620" w:lineRule="exact"/>
              <w:jc w:val="center"/>
              <w:rPr>
                <w:rFonts w:hint="eastAsia" w:eastAsia="仿宋_GB2312" w:cs="仿宋_GB2312"/>
                <w:sz w:val="28"/>
                <w:szCs w:val="28"/>
              </w:rPr>
            </w:pPr>
          </w:p>
        </w:tc>
        <w:tc>
          <w:tcPr>
            <w:tcW w:w="938" w:type="dxa"/>
            <w:vAlign w:val="center"/>
          </w:tcPr>
          <w:p>
            <w:pPr>
              <w:spacing w:line="620" w:lineRule="exact"/>
              <w:jc w:val="center"/>
              <w:rPr>
                <w:rFonts w:hint="eastAsia" w:eastAsia="仿宋_GB2312" w:cs="仿宋_GB2312"/>
                <w:sz w:val="28"/>
                <w:szCs w:val="28"/>
              </w:rPr>
            </w:pPr>
          </w:p>
        </w:tc>
        <w:tc>
          <w:tcPr>
            <w:tcW w:w="1203" w:type="dxa"/>
            <w:vAlign w:val="center"/>
          </w:tcPr>
          <w:p>
            <w:pPr>
              <w:spacing w:line="620" w:lineRule="exact"/>
              <w:jc w:val="center"/>
              <w:rPr>
                <w:rFonts w:hint="eastAsia" w:eastAsia="仿宋_GB2312" w:cs="仿宋_GB2312"/>
                <w:sz w:val="28"/>
                <w:szCs w:val="28"/>
              </w:rPr>
            </w:pPr>
          </w:p>
        </w:tc>
        <w:tc>
          <w:tcPr>
            <w:tcW w:w="782" w:type="dxa"/>
            <w:vAlign w:val="center"/>
          </w:tcPr>
          <w:p>
            <w:pPr>
              <w:spacing w:line="620" w:lineRule="exact"/>
              <w:jc w:val="center"/>
              <w:rPr>
                <w:rFonts w:hint="eastAsia" w:eastAsia="仿宋_GB2312" w:cs="仿宋_GB2312"/>
                <w:sz w:val="28"/>
                <w:szCs w:val="28"/>
              </w:rPr>
            </w:pPr>
          </w:p>
        </w:tc>
        <w:tc>
          <w:tcPr>
            <w:tcW w:w="1275" w:type="dxa"/>
            <w:vAlign w:val="center"/>
          </w:tcPr>
          <w:p>
            <w:pPr>
              <w:spacing w:line="620" w:lineRule="exact"/>
              <w:jc w:val="center"/>
              <w:rPr>
                <w:rFonts w:hint="eastAsia" w:eastAsia="仿宋_GB2312" w:cs="仿宋_GB2312"/>
                <w:sz w:val="28"/>
                <w:szCs w:val="28"/>
              </w:rPr>
            </w:pPr>
          </w:p>
        </w:tc>
        <w:tc>
          <w:tcPr>
            <w:tcW w:w="2323" w:type="dxa"/>
            <w:vAlign w:val="center"/>
          </w:tcPr>
          <w:p>
            <w:pPr>
              <w:spacing w:line="620" w:lineRule="exact"/>
              <w:jc w:val="center"/>
              <w:rPr>
                <w:rFonts w:hint="eastAsia" w:eastAsia="仿宋_GB2312" w:cs="仿宋_GB2312"/>
                <w:sz w:val="28"/>
                <w:szCs w:val="28"/>
              </w:rPr>
            </w:pPr>
          </w:p>
        </w:tc>
        <w:tc>
          <w:tcPr>
            <w:tcW w:w="903" w:type="dxa"/>
            <w:vAlign w:val="center"/>
          </w:tcPr>
          <w:p>
            <w:pPr>
              <w:spacing w:line="620" w:lineRule="exact"/>
              <w:jc w:val="center"/>
              <w:rPr>
                <w:rFonts w:hint="eastAsia" w:eastAsia="仿宋_GB2312" w:cs="仿宋_GB2312"/>
                <w:sz w:val="28"/>
                <w:szCs w:val="28"/>
              </w:rPr>
            </w:pPr>
          </w:p>
        </w:tc>
      </w:tr>
    </w:tbl>
    <w:p>
      <w:pPr>
        <w:spacing w:line="620" w:lineRule="exact"/>
        <w:jc w:val="center"/>
        <w:rPr>
          <w:rFonts w:hint="eastAsia" w:cs="Times New Roman"/>
        </w:rPr>
      </w:pPr>
      <w:r>
        <w:rPr>
          <w:rFonts w:hint="eastAsia" w:eastAsia="仿宋_GB2312" w:cs="仿宋_GB2312"/>
          <w:sz w:val="28"/>
          <w:szCs w:val="28"/>
        </w:rPr>
        <w:t>备注：纳管企业排放总量是以排放口排放浓度来计算。核定的排放总量是指经环保部门许可的排放量。</w:t>
      </w:r>
      <w:r>
        <w:rPr>
          <w:rFonts w:hint="eastAsia" w:eastAsia="仿宋_GB2312" w:cs="仿宋_GB2312"/>
          <w:sz w:val="28"/>
          <w:szCs w:val="28"/>
        </w:rPr>
        <w:br w:type="page"/>
      </w:r>
    </w:p>
    <w:tbl>
      <w:tblPr>
        <w:tblStyle w:val="27"/>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559"/>
        <w:gridCol w:w="1134"/>
        <w:gridCol w:w="936"/>
        <w:gridCol w:w="853"/>
        <w:gridCol w:w="1134"/>
        <w:gridCol w:w="1275"/>
        <w:gridCol w:w="24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1"/>
          </w:tcPr>
          <w:p>
            <w:pPr>
              <w:spacing w:line="600" w:lineRule="exact"/>
              <w:jc w:val="center"/>
              <w:rPr>
                <w:rFonts w:hint="eastAsia" w:eastAsia="仿宋_GB2312" w:cs="Times New Roman"/>
                <w:b/>
                <w:bCs/>
                <w:sz w:val="28"/>
                <w:szCs w:val="28"/>
              </w:rPr>
            </w:pPr>
            <w:r>
              <w:rPr>
                <w:rFonts w:hint="eastAsia" w:eastAsia="仿宋_GB2312" w:cs="仿宋_GB2312"/>
                <w:b/>
                <w:bCs/>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1" w:type="dxa"/>
            <w:gridSpan w:val="6"/>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排放口数量</w:t>
            </w:r>
          </w:p>
        </w:tc>
        <w:tc>
          <w:tcPr>
            <w:tcW w:w="6629" w:type="dxa"/>
            <w:gridSpan w:val="5"/>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排放口编号或名称</w:t>
            </w:r>
          </w:p>
        </w:tc>
        <w:tc>
          <w:tcPr>
            <w:tcW w:w="13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排放口位置</w:t>
            </w:r>
          </w:p>
        </w:tc>
        <w:tc>
          <w:tcPr>
            <w:tcW w:w="99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排放方式</w:t>
            </w:r>
          </w:p>
        </w:tc>
        <w:tc>
          <w:tcPr>
            <w:tcW w:w="1559"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主要/特征污染物名称</w:t>
            </w:r>
          </w:p>
        </w:tc>
        <w:tc>
          <w:tcPr>
            <w:tcW w:w="113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排放浓度（mg/m3）</w:t>
            </w:r>
          </w:p>
        </w:tc>
        <w:tc>
          <w:tcPr>
            <w:tcW w:w="936"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监测</w:t>
            </w:r>
          </w:p>
          <w:p>
            <w:pPr>
              <w:spacing w:line="620" w:lineRule="exact"/>
              <w:jc w:val="center"/>
              <w:rPr>
                <w:rFonts w:hint="eastAsia" w:eastAsia="仿宋_GB2312" w:cs="仿宋_GB2312"/>
                <w:sz w:val="24"/>
                <w:szCs w:val="24"/>
              </w:rPr>
            </w:pPr>
            <w:r>
              <w:rPr>
                <w:rFonts w:hint="eastAsia" w:eastAsia="仿宋_GB2312" w:cs="仿宋_GB2312"/>
                <w:sz w:val="24"/>
                <w:szCs w:val="24"/>
              </w:rPr>
              <w:t>时间</w:t>
            </w:r>
          </w:p>
        </w:tc>
        <w:tc>
          <w:tcPr>
            <w:tcW w:w="85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监测</w:t>
            </w:r>
          </w:p>
          <w:p>
            <w:pPr>
              <w:spacing w:line="620" w:lineRule="exact"/>
              <w:jc w:val="center"/>
              <w:rPr>
                <w:rFonts w:hint="eastAsia" w:eastAsia="仿宋_GB2312" w:cs="仿宋_GB2312"/>
                <w:sz w:val="24"/>
                <w:szCs w:val="24"/>
              </w:rPr>
            </w:pPr>
            <w:r>
              <w:rPr>
                <w:rFonts w:hint="eastAsia" w:eastAsia="仿宋_GB2312" w:cs="仿宋_GB2312"/>
                <w:sz w:val="24"/>
                <w:szCs w:val="24"/>
              </w:rPr>
              <w:t>方式</w:t>
            </w:r>
          </w:p>
        </w:tc>
        <w:tc>
          <w:tcPr>
            <w:tcW w:w="113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排放总量(kg)</w:t>
            </w:r>
          </w:p>
        </w:tc>
        <w:tc>
          <w:tcPr>
            <w:tcW w:w="1275"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核定的排放总量（kg）</w:t>
            </w:r>
          </w:p>
        </w:tc>
        <w:tc>
          <w:tcPr>
            <w:tcW w:w="246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执行的污染物排放标准及浓度限值（mg/m3）</w:t>
            </w:r>
          </w:p>
        </w:tc>
        <w:tc>
          <w:tcPr>
            <w:tcW w:w="9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是否</w:t>
            </w:r>
          </w:p>
          <w:p>
            <w:pPr>
              <w:spacing w:line="620" w:lineRule="exact"/>
              <w:jc w:val="center"/>
              <w:rPr>
                <w:rFonts w:hint="eastAsia" w:eastAsia="仿宋_GB2312" w:cs="仿宋_GB2312"/>
                <w:sz w:val="24"/>
                <w:szCs w:val="24"/>
              </w:rPr>
            </w:pPr>
            <w:r>
              <w:rPr>
                <w:rFonts w:hint="eastAsia" w:eastAsia="仿宋_GB2312" w:cs="仿宋_GB2312"/>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76" w:type="dxa"/>
            <w:vMerge w:val="restart"/>
            <w:vAlign w:val="center"/>
          </w:tcPr>
          <w:p>
            <w:pPr>
              <w:spacing w:line="620" w:lineRule="exact"/>
              <w:jc w:val="center"/>
              <w:rPr>
                <w:rFonts w:hint="eastAsia" w:ascii="仿宋" w:hAnsi="仿宋" w:eastAsia="仿宋" w:cs="仿宋"/>
                <w:sz w:val="24"/>
                <w:szCs w:val="24"/>
              </w:rPr>
            </w:pPr>
            <w:r>
              <w:rPr>
                <w:rFonts w:hint="eastAsia" w:ascii="仿宋" w:hAnsi="仿宋" w:eastAsia="仿宋" w:cs="仿宋"/>
                <w:sz w:val="24"/>
                <w:szCs w:val="24"/>
              </w:rPr>
              <w:t>排放口1</w:t>
            </w:r>
          </w:p>
        </w:tc>
        <w:tc>
          <w:tcPr>
            <w:tcW w:w="1303" w:type="dxa"/>
            <w:vMerge w:val="restart"/>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前硫化</w:t>
            </w:r>
          </w:p>
        </w:tc>
        <w:tc>
          <w:tcPr>
            <w:tcW w:w="993" w:type="dxa"/>
            <w:vMerge w:val="restart"/>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吸收循环利用</w:t>
            </w:r>
          </w:p>
        </w:tc>
        <w:tc>
          <w:tcPr>
            <w:tcW w:w="1559" w:type="dxa"/>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氨气</w:t>
            </w:r>
          </w:p>
        </w:tc>
        <w:tc>
          <w:tcPr>
            <w:tcW w:w="113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4.36</w:t>
            </w:r>
          </w:p>
        </w:tc>
        <w:tc>
          <w:tcPr>
            <w:tcW w:w="936"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2021年4月7日</w:t>
            </w:r>
          </w:p>
        </w:tc>
        <w:tc>
          <w:tcPr>
            <w:tcW w:w="853"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手动</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86.72</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350</w:t>
            </w:r>
          </w:p>
        </w:tc>
        <w:tc>
          <w:tcPr>
            <w:tcW w:w="246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《橡胶制品工业污染物排放标准》（GB27632-2011）</w:t>
            </w:r>
          </w:p>
        </w:tc>
        <w:tc>
          <w:tcPr>
            <w:tcW w:w="903" w:type="dxa"/>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ascii="仿宋" w:hAnsi="仿宋" w:eastAsia="仿宋" w:cs="仿宋"/>
                <w:sz w:val="24"/>
                <w:szCs w:val="24"/>
              </w:rPr>
            </w:pPr>
          </w:p>
        </w:tc>
        <w:tc>
          <w:tcPr>
            <w:tcW w:w="1303" w:type="dxa"/>
            <w:vMerge w:val="continue"/>
            <w:vAlign w:val="center"/>
          </w:tcPr>
          <w:p>
            <w:pPr>
              <w:spacing w:line="620" w:lineRule="exact"/>
              <w:jc w:val="center"/>
              <w:rPr>
                <w:rFonts w:hint="eastAsia" w:ascii="仿宋" w:hAnsi="仿宋" w:eastAsia="仿宋" w:cs="仿宋"/>
                <w:sz w:val="24"/>
                <w:szCs w:val="24"/>
              </w:rPr>
            </w:pPr>
          </w:p>
        </w:tc>
        <w:tc>
          <w:tcPr>
            <w:tcW w:w="993" w:type="dxa"/>
            <w:vMerge w:val="continue"/>
            <w:vAlign w:val="center"/>
          </w:tcPr>
          <w:p>
            <w:pPr>
              <w:spacing w:line="620" w:lineRule="exact"/>
              <w:jc w:val="center"/>
              <w:rPr>
                <w:rFonts w:hint="eastAsia" w:ascii="仿宋" w:hAnsi="仿宋" w:eastAsia="仿宋" w:cs="仿宋"/>
                <w:sz w:val="24"/>
                <w:szCs w:val="24"/>
              </w:rPr>
            </w:pPr>
          </w:p>
        </w:tc>
        <w:tc>
          <w:tcPr>
            <w:tcW w:w="1559" w:type="dxa"/>
            <w:vAlign w:val="center"/>
          </w:tcPr>
          <w:p>
            <w:pPr>
              <w:spacing w:line="620" w:lineRule="exact"/>
              <w:jc w:val="center"/>
              <w:rPr>
                <w:rFonts w:hint="eastAsia" w:ascii="仿宋" w:hAnsi="仿宋" w:eastAsia="仿宋" w:cs="仿宋"/>
                <w:sz w:val="24"/>
                <w:szCs w:val="24"/>
                <w:lang w:eastAsia="zh-CN"/>
              </w:rPr>
            </w:pPr>
          </w:p>
        </w:tc>
        <w:tc>
          <w:tcPr>
            <w:tcW w:w="1134" w:type="dxa"/>
            <w:vAlign w:val="center"/>
          </w:tcPr>
          <w:p>
            <w:pPr>
              <w:spacing w:line="620" w:lineRule="exact"/>
              <w:jc w:val="center"/>
              <w:rPr>
                <w:rFonts w:hint="eastAsia" w:ascii="仿宋" w:hAnsi="仿宋" w:eastAsia="仿宋" w:cs="仿宋"/>
                <w:sz w:val="24"/>
                <w:szCs w:val="24"/>
                <w:lang w:val="en-US" w:eastAsia="zh-CN"/>
              </w:rPr>
            </w:pPr>
          </w:p>
        </w:tc>
        <w:tc>
          <w:tcPr>
            <w:tcW w:w="936" w:type="dxa"/>
          </w:tcPr>
          <w:p>
            <w:pPr>
              <w:spacing w:line="620" w:lineRule="exact"/>
              <w:jc w:val="center"/>
              <w:rPr>
                <w:rFonts w:hint="eastAsia" w:ascii="仿宋" w:hAnsi="仿宋" w:eastAsia="仿宋" w:cs="仿宋"/>
                <w:sz w:val="24"/>
                <w:szCs w:val="24"/>
                <w:lang w:eastAsia="zh-CN"/>
              </w:rPr>
            </w:pPr>
          </w:p>
        </w:tc>
        <w:tc>
          <w:tcPr>
            <w:tcW w:w="853" w:type="dxa"/>
            <w:vAlign w:val="center"/>
          </w:tcPr>
          <w:p>
            <w:pPr>
              <w:spacing w:line="620" w:lineRule="exact"/>
              <w:jc w:val="center"/>
              <w:rPr>
                <w:rFonts w:hint="eastAsia" w:ascii="仿宋" w:hAnsi="仿宋" w:eastAsia="仿宋" w:cs="仿宋"/>
                <w:sz w:val="24"/>
                <w:szCs w:val="24"/>
                <w:lang w:val="en-US" w:eastAsia="zh-CN"/>
              </w:rPr>
            </w:pPr>
          </w:p>
        </w:tc>
        <w:tc>
          <w:tcPr>
            <w:tcW w:w="1134" w:type="dxa"/>
            <w:vAlign w:val="center"/>
          </w:tcPr>
          <w:p>
            <w:pPr>
              <w:spacing w:line="620" w:lineRule="exact"/>
              <w:jc w:val="center"/>
              <w:rPr>
                <w:rFonts w:hint="eastAsia" w:ascii="仿宋" w:hAnsi="仿宋" w:eastAsia="仿宋" w:cs="仿宋"/>
                <w:sz w:val="24"/>
                <w:szCs w:val="24"/>
                <w:lang w:val="en-US" w:eastAsia="zh-CN"/>
              </w:rPr>
            </w:pPr>
          </w:p>
        </w:tc>
        <w:tc>
          <w:tcPr>
            <w:tcW w:w="1275" w:type="dxa"/>
            <w:vAlign w:val="center"/>
          </w:tcPr>
          <w:p>
            <w:pPr>
              <w:spacing w:line="620" w:lineRule="exact"/>
              <w:jc w:val="center"/>
              <w:rPr>
                <w:rFonts w:hint="eastAsia" w:ascii="仿宋" w:hAnsi="仿宋" w:eastAsia="仿宋" w:cs="仿宋"/>
                <w:sz w:val="24"/>
                <w:szCs w:val="24"/>
                <w:lang w:val="en-US" w:eastAsia="zh-CN"/>
              </w:rPr>
            </w:pPr>
          </w:p>
        </w:tc>
        <w:tc>
          <w:tcPr>
            <w:tcW w:w="2464" w:type="dxa"/>
            <w:vAlign w:val="center"/>
          </w:tcPr>
          <w:p>
            <w:pPr>
              <w:spacing w:line="620" w:lineRule="exact"/>
              <w:jc w:val="center"/>
              <w:rPr>
                <w:rFonts w:hint="eastAsia" w:ascii="仿宋" w:hAnsi="仿宋" w:eastAsia="仿宋" w:cs="仿宋"/>
                <w:sz w:val="24"/>
                <w:szCs w:val="24"/>
                <w:lang w:val="en-US" w:eastAsia="zh-CN"/>
              </w:rPr>
            </w:pPr>
          </w:p>
        </w:tc>
        <w:tc>
          <w:tcPr>
            <w:tcW w:w="903" w:type="dxa"/>
            <w:vAlign w:val="center"/>
          </w:tcPr>
          <w:p>
            <w:pPr>
              <w:spacing w:line="6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ascii="仿宋" w:hAnsi="仿宋" w:eastAsia="仿宋" w:cs="仿宋"/>
                <w:sz w:val="24"/>
                <w:szCs w:val="24"/>
              </w:rPr>
            </w:pPr>
          </w:p>
        </w:tc>
        <w:tc>
          <w:tcPr>
            <w:tcW w:w="1303" w:type="dxa"/>
            <w:vMerge w:val="continue"/>
            <w:vAlign w:val="center"/>
          </w:tcPr>
          <w:p>
            <w:pPr>
              <w:spacing w:line="620" w:lineRule="exact"/>
              <w:jc w:val="center"/>
              <w:rPr>
                <w:rFonts w:hint="eastAsia" w:ascii="仿宋" w:hAnsi="仿宋" w:eastAsia="仿宋" w:cs="仿宋"/>
                <w:sz w:val="24"/>
                <w:szCs w:val="24"/>
              </w:rPr>
            </w:pPr>
          </w:p>
        </w:tc>
        <w:tc>
          <w:tcPr>
            <w:tcW w:w="993" w:type="dxa"/>
            <w:vMerge w:val="continue"/>
            <w:vAlign w:val="center"/>
          </w:tcPr>
          <w:p>
            <w:pPr>
              <w:spacing w:line="620" w:lineRule="exact"/>
              <w:jc w:val="center"/>
              <w:rPr>
                <w:rFonts w:hint="eastAsia" w:ascii="仿宋" w:hAnsi="仿宋" w:eastAsia="仿宋" w:cs="仿宋"/>
                <w:sz w:val="24"/>
                <w:szCs w:val="24"/>
              </w:rPr>
            </w:pPr>
          </w:p>
        </w:tc>
        <w:tc>
          <w:tcPr>
            <w:tcW w:w="1559" w:type="dxa"/>
            <w:vAlign w:val="center"/>
          </w:tcPr>
          <w:p>
            <w:pPr>
              <w:spacing w:line="620" w:lineRule="exact"/>
              <w:jc w:val="center"/>
              <w:rPr>
                <w:rFonts w:hint="eastAsia" w:ascii="仿宋" w:hAnsi="仿宋" w:eastAsia="仿宋" w:cs="仿宋"/>
                <w:sz w:val="24"/>
                <w:szCs w:val="24"/>
                <w:lang w:eastAsia="zh-CN"/>
              </w:rPr>
            </w:pPr>
          </w:p>
        </w:tc>
        <w:tc>
          <w:tcPr>
            <w:tcW w:w="1134" w:type="dxa"/>
            <w:vAlign w:val="center"/>
          </w:tcPr>
          <w:p>
            <w:pPr>
              <w:spacing w:line="620" w:lineRule="exact"/>
              <w:jc w:val="center"/>
              <w:rPr>
                <w:rFonts w:hint="eastAsia" w:ascii="仿宋" w:hAnsi="仿宋" w:eastAsia="仿宋" w:cs="仿宋"/>
                <w:sz w:val="24"/>
                <w:szCs w:val="24"/>
                <w:lang w:val="en-US" w:eastAsia="zh-CN"/>
              </w:rPr>
            </w:pPr>
          </w:p>
        </w:tc>
        <w:tc>
          <w:tcPr>
            <w:tcW w:w="936" w:type="dxa"/>
          </w:tcPr>
          <w:p>
            <w:pPr>
              <w:spacing w:line="620" w:lineRule="exact"/>
              <w:jc w:val="center"/>
              <w:rPr>
                <w:rFonts w:hint="eastAsia" w:ascii="仿宋" w:hAnsi="仿宋" w:eastAsia="仿宋" w:cs="仿宋"/>
                <w:sz w:val="24"/>
                <w:szCs w:val="24"/>
                <w:lang w:eastAsia="zh-CN"/>
              </w:rPr>
            </w:pPr>
          </w:p>
        </w:tc>
        <w:tc>
          <w:tcPr>
            <w:tcW w:w="853" w:type="dxa"/>
            <w:vAlign w:val="center"/>
          </w:tcPr>
          <w:p>
            <w:pPr>
              <w:spacing w:line="620" w:lineRule="exact"/>
              <w:jc w:val="center"/>
              <w:rPr>
                <w:rFonts w:hint="eastAsia" w:ascii="仿宋" w:hAnsi="仿宋" w:eastAsia="仿宋" w:cs="仿宋"/>
                <w:sz w:val="24"/>
                <w:szCs w:val="24"/>
                <w:lang w:val="en-US" w:eastAsia="zh-CN"/>
              </w:rPr>
            </w:pPr>
          </w:p>
        </w:tc>
        <w:tc>
          <w:tcPr>
            <w:tcW w:w="1134" w:type="dxa"/>
            <w:vAlign w:val="center"/>
          </w:tcPr>
          <w:p>
            <w:pPr>
              <w:spacing w:line="620" w:lineRule="exact"/>
              <w:jc w:val="center"/>
              <w:rPr>
                <w:rFonts w:hint="eastAsia" w:ascii="仿宋" w:hAnsi="仿宋" w:eastAsia="仿宋" w:cs="仿宋"/>
                <w:sz w:val="24"/>
                <w:szCs w:val="24"/>
                <w:lang w:val="en-US" w:eastAsia="zh-CN"/>
              </w:rPr>
            </w:pPr>
          </w:p>
        </w:tc>
        <w:tc>
          <w:tcPr>
            <w:tcW w:w="1275" w:type="dxa"/>
            <w:vAlign w:val="center"/>
          </w:tcPr>
          <w:p>
            <w:pPr>
              <w:spacing w:line="620" w:lineRule="exact"/>
              <w:jc w:val="center"/>
              <w:rPr>
                <w:rFonts w:hint="eastAsia" w:ascii="仿宋" w:hAnsi="仿宋" w:eastAsia="仿宋" w:cs="仿宋"/>
                <w:sz w:val="24"/>
                <w:szCs w:val="24"/>
                <w:lang w:val="en-US" w:eastAsia="zh-CN"/>
              </w:rPr>
            </w:pPr>
          </w:p>
        </w:tc>
        <w:tc>
          <w:tcPr>
            <w:tcW w:w="2464" w:type="dxa"/>
            <w:vAlign w:val="center"/>
          </w:tcPr>
          <w:p>
            <w:pPr>
              <w:spacing w:line="620" w:lineRule="exact"/>
              <w:jc w:val="center"/>
              <w:rPr>
                <w:rFonts w:hint="eastAsia" w:ascii="仿宋" w:hAnsi="仿宋" w:eastAsia="仿宋" w:cs="仿宋"/>
                <w:sz w:val="24"/>
                <w:szCs w:val="24"/>
                <w:lang w:val="en-US" w:eastAsia="zh-CN"/>
              </w:rPr>
            </w:pPr>
          </w:p>
        </w:tc>
        <w:tc>
          <w:tcPr>
            <w:tcW w:w="903" w:type="dxa"/>
            <w:vAlign w:val="center"/>
          </w:tcPr>
          <w:p>
            <w:pPr>
              <w:spacing w:line="6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20" w:lineRule="exact"/>
              <w:jc w:val="center"/>
              <w:rPr>
                <w:rFonts w:hint="eastAsia" w:ascii="仿宋" w:hAnsi="仿宋" w:eastAsia="仿宋" w:cs="仿宋"/>
                <w:sz w:val="24"/>
                <w:szCs w:val="24"/>
              </w:rPr>
            </w:pPr>
            <w:r>
              <w:rPr>
                <w:rFonts w:hint="eastAsia" w:ascii="仿宋" w:hAnsi="仿宋" w:eastAsia="仿宋" w:cs="仿宋"/>
                <w:sz w:val="24"/>
                <w:szCs w:val="24"/>
              </w:rPr>
              <w:t>排放口2</w:t>
            </w:r>
          </w:p>
        </w:tc>
        <w:tc>
          <w:tcPr>
            <w:tcW w:w="1303" w:type="dxa"/>
            <w:vMerge w:val="restart"/>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后硫化</w:t>
            </w:r>
          </w:p>
        </w:tc>
        <w:tc>
          <w:tcPr>
            <w:tcW w:w="993" w:type="dxa"/>
            <w:vMerge w:val="restart"/>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净化后排放</w:t>
            </w:r>
          </w:p>
        </w:tc>
        <w:tc>
          <w:tcPr>
            <w:tcW w:w="1559" w:type="dxa"/>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颗粒物</w:t>
            </w:r>
          </w:p>
        </w:tc>
        <w:tc>
          <w:tcPr>
            <w:tcW w:w="113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w:t>
            </w:r>
          </w:p>
        </w:tc>
        <w:tc>
          <w:tcPr>
            <w:tcW w:w="936" w:type="dxa"/>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2021年4月7日</w:t>
            </w:r>
          </w:p>
        </w:tc>
        <w:tc>
          <w:tcPr>
            <w:tcW w:w="853"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手动</w:t>
            </w:r>
          </w:p>
        </w:tc>
        <w:tc>
          <w:tcPr>
            <w:tcW w:w="1134" w:type="dxa"/>
            <w:vAlign w:val="center"/>
          </w:tcPr>
          <w:p>
            <w:pPr>
              <w:keepNext w:val="0"/>
              <w:keepLines w:val="0"/>
              <w:widowControl/>
              <w:suppressLineNumbers w:val="0"/>
              <w:ind w:firstLine="220" w:firstLineChars="10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3.1</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133</w:t>
            </w:r>
          </w:p>
        </w:tc>
        <w:tc>
          <w:tcPr>
            <w:tcW w:w="246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《橡胶制品工业污染物排放标准》（GB27632-2011）</w:t>
            </w:r>
          </w:p>
        </w:tc>
        <w:tc>
          <w:tcPr>
            <w:tcW w:w="903" w:type="dxa"/>
            <w:vAlign w:val="center"/>
          </w:tcPr>
          <w:p>
            <w:pPr>
              <w:spacing w:line="6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eastAsia="仿宋_GB2312" w:cs="仿宋_GB2312"/>
                <w:sz w:val="24"/>
                <w:szCs w:val="24"/>
              </w:rPr>
            </w:pPr>
          </w:p>
        </w:tc>
        <w:tc>
          <w:tcPr>
            <w:tcW w:w="1303" w:type="dxa"/>
            <w:vMerge w:val="continue"/>
            <w:vAlign w:val="center"/>
          </w:tcPr>
          <w:p>
            <w:pPr>
              <w:spacing w:line="620" w:lineRule="exact"/>
              <w:jc w:val="center"/>
              <w:rPr>
                <w:rFonts w:hint="eastAsia" w:eastAsia="仿宋_GB2312" w:cs="仿宋_GB2312"/>
                <w:sz w:val="24"/>
                <w:szCs w:val="24"/>
              </w:rPr>
            </w:pPr>
          </w:p>
        </w:tc>
        <w:tc>
          <w:tcPr>
            <w:tcW w:w="993" w:type="dxa"/>
            <w:vMerge w:val="continue"/>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936" w:type="dxa"/>
          </w:tcPr>
          <w:p>
            <w:pPr>
              <w:spacing w:line="620" w:lineRule="exact"/>
              <w:jc w:val="center"/>
              <w:rPr>
                <w:rFonts w:hint="eastAsia" w:eastAsia="仿宋_GB2312" w:cs="仿宋_GB2312"/>
                <w:sz w:val="24"/>
                <w:szCs w:val="24"/>
              </w:rPr>
            </w:pPr>
          </w:p>
        </w:tc>
        <w:tc>
          <w:tcPr>
            <w:tcW w:w="853" w:type="dxa"/>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1275" w:type="dxa"/>
            <w:vAlign w:val="center"/>
          </w:tcPr>
          <w:p>
            <w:pPr>
              <w:spacing w:line="620" w:lineRule="exact"/>
              <w:jc w:val="center"/>
              <w:rPr>
                <w:rFonts w:hint="eastAsia" w:eastAsia="仿宋_GB2312" w:cs="仿宋_GB2312"/>
                <w:sz w:val="24"/>
                <w:szCs w:val="24"/>
              </w:rPr>
            </w:pPr>
          </w:p>
        </w:tc>
        <w:tc>
          <w:tcPr>
            <w:tcW w:w="2464" w:type="dxa"/>
            <w:vAlign w:val="center"/>
          </w:tcPr>
          <w:p>
            <w:pPr>
              <w:spacing w:line="620" w:lineRule="exact"/>
              <w:jc w:val="center"/>
              <w:rPr>
                <w:rFonts w:hint="eastAsia" w:eastAsia="仿宋_GB2312" w:cs="仿宋_GB2312"/>
                <w:sz w:val="24"/>
                <w:szCs w:val="24"/>
              </w:rPr>
            </w:pPr>
          </w:p>
        </w:tc>
        <w:tc>
          <w:tcPr>
            <w:tcW w:w="903" w:type="dxa"/>
            <w:vAlign w:val="center"/>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eastAsia="仿宋_GB2312" w:cs="仿宋_GB2312"/>
                <w:sz w:val="24"/>
                <w:szCs w:val="24"/>
              </w:rPr>
            </w:pPr>
          </w:p>
        </w:tc>
        <w:tc>
          <w:tcPr>
            <w:tcW w:w="1303" w:type="dxa"/>
            <w:vMerge w:val="continue"/>
            <w:vAlign w:val="center"/>
          </w:tcPr>
          <w:p>
            <w:pPr>
              <w:spacing w:line="620" w:lineRule="exact"/>
              <w:jc w:val="center"/>
              <w:rPr>
                <w:rFonts w:hint="eastAsia" w:eastAsia="仿宋_GB2312" w:cs="仿宋_GB2312"/>
                <w:sz w:val="24"/>
                <w:szCs w:val="24"/>
              </w:rPr>
            </w:pPr>
          </w:p>
        </w:tc>
        <w:tc>
          <w:tcPr>
            <w:tcW w:w="993" w:type="dxa"/>
            <w:vMerge w:val="continue"/>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w:t>
            </w:r>
          </w:p>
        </w:tc>
        <w:tc>
          <w:tcPr>
            <w:tcW w:w="1134" w:type="dxa"/>
            <w:vAlign w:val="center"/>
          </w:tcPr>
          <w:p>
            <w:pPr>
              <w:spacing w:line="620" w:lineRule="exact"/>
              <w:jc w:val="center"/>
              <w:rPr>
                <w:rFonts w:hint="eastAsia" w:eastAsia="仿宋_GB2312" w:cs="仿宋_GB2312"/>
                <w:sz w:val="24"/>
                <w:szCs w:val="24"/>
              </w:rPr>
            </w:pPr>
          </w:p>
        </w:tc>
        <w:tc>
          <w:tcPr>
            <w:tcW w:w="936" w:type="dxa"/>
          </w:tcPr>
          <w:p>
            <w:pPr>
              <w:spacing w:line="620" w:lineRule="exact"/>
              <w:jc w:val="center"/>
              <w:rPr>
                <w:rFonts w:hint="eastAsia" w:eastAsia="仿宋_GB2312" w:cs="仿宋_GB2312"/>
                <w:sz w:val="24"/>
                <w:szCs w:val="24"/>
              </w:rPr>
            </w:pPr>
          </w:p>
        </w:tc>
        <w:tc>
          <w:tcPr>
            <w:tcW w:w="853" w:type="dxa"/>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1275" w:type="dxa"/>
            <w:vAlign w:val="center"/>
          </w:tcPr>
          <w:p>
            <w:pPr>
              <w:spacing w:line="620" w:lineRule="exact"/>
              <w:jc w:val="center"/>
              <w:rPr>
                <w:rFonts w:hint="eastAsia" w:eastAsia="仿宋_GB2312" w:cs="仿宋_GB2312"/>
                <w:sz w:val="24"/>
                <w:szCs w:val="24"/>
              </w:rPr>
            </w:pPr>
          </w:p>
        </w:tc>
        <w:tc>
          <w:tcPr>
            <w:tcW w:w="2464" w:type="dxa"/>
            <w:vAlign w:val="center"/>
          </w:tcPr>
          <w:p>
            <w:pPr>
              <w:spacing w:line="620" w:lineRule="exact"/>
              <w:jc w:val="center"/>
              <w:rPr>
                <w:rFonts w:hint="eastAsia" w:eastAsia="仿宋_GB2312" w:cs="仿宋_GB2312"/>
                <w:sz w:val="24"/>
                <w:szCs w:val="24"/>
              </w:rPr>
            </w:pPr>
          </w:p>
        </w:tc>
        <w:tc>
          <w:tcPr>
            <w:tcW w:w="903" w:type="dxa"/>
            <w:vAlign w:val="center"/>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w:t>
            </w:r>
          </w:p>
        </w:tc>
        <w:tc>
          <w:tcPr>
            <w:tcW w:w="1303" w:type="dxa"/>
            <w:vMerge w:val="restart"/>
            <w:vAlign w:val="center"/>
          </w:tcPr>
          <w:p>
            <w:pPr>
              <w:spacing w:line="620" w:lineRule="exact"/>
              <w:jc w:val="center"/>
              <w:rPr>
                <w:rFonts w:hint="eastAsia" w:eastAsia="仿宋_GB2312" w:cs="仿宋_GB2312"/>
                <w:sz w:val="24"/>
                <w:szCs w:val="24"/>
              </w:rPr>
            </w:pPr>
          </w:p>
        </w:tc>
        <w:tc>
          <w:tcPr>
            <w:tcW w:w="993" w:type="dxa"/>
            <w:vMerge w:val="restart"/>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936" w:type="dxa"/>
          </w:tcPr>
          <w:p>
            <w:pPr>
              <w:spacing w:line="620" w:lineRule="exact"/>
              <w:jc w:val="center"/>
              <w:rPr>
                <w:rFonts w:hint="eastAsia" w:eastAsia="仿宋_GB2312" w:cs="仿宋_GB2312"/>
                <w:sz w:val="24"/>
                <w:szCs w:val="24"/>
              </w:rPr>
            </w:pPr>
          </w:p>
        </w:tc>
        <w:tc>
          <w:tcPr>
            <w:tcW w:w="853" w:type="dxa"/>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1275" w:type="dxa"/>
            <w:vAlign w:val="center"/>
          </w:tcPr>
          <w:p>
            <w:pPr>
              <w:spacing w:line="620" w:lineRule="exact"/>
              <w:jc w:val="center"/>
              <w:rPr>
                <w:rFonts w:hint="eastAsia" w:eastAsia="仿宋_GB2312" w:cs="仿宋_GB2312"/>
                <w:sz w:val="24"/>
                <w:szCs w:val="24"/>
              </w:rPr>
            </w:pPr>
          </w:p>
        </w:tc>
        <w:tc>
          <w:tcPr>
            <w:tcW w:w="2464" w:type="dxa"/>
            <w:vAlign w:val="center"/>
          </w:tcPr>
          <w:p>
            <w:pPr>
              <w:spacing w:line="620" w:lineRule="exact"/>
              <w:jc w:val="center"/>
              <w:rPr>
                <w:rFonts w:hint="eastAsia" w:eastAsia="仿宋_GB2312" w:cs="仿宋_GB2312"/>
                <w:sz w:val="24"/>
                <w:szCs w:val="24"/>
              </w:rPr>
            </w:pPr>
          </w:p>
        </w:tc>
        <w:tc>
          <w:tcPr>
            <w:tcW w:w="903" w:type="dxa"/>
            <w:vAlign w:val="center"/>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eastAsia="仿宋_GB2312" w:cs="仿宋_GB2312"/>
                <w:sz w:val="24"/>
                <w:szCs w:val="24"/>
              </w:rPr>
            </w:pPr>
          </w:p>
        </w:tc>
        <w:tc>
          <w:tcPr>
            <w:tcW w:w="1303" w:type="dxa"/>
            <w:vMerge w:val="continue"/>
            <w:vAlign w:val="center"/>
          </w:tcPr>
          <w:p>
            <w:pPr>
              <w:spacing w:line="620" w:lineRule="exact"/>
              <w:jc w:val="center"/>
              <w:rPr>
                <w:rFonts w:hint="eastAsia" w:eastAsia="仿宋_GB2312" w:cs="仿宋_GB2312"/>
                <w:sz w:val="24"/>
                <w:szCs w:val="24"/>
              </w:rPr>
            </w:pPr>
          </w:p>
        </w:tc>
        <w:tc>
          <w:tcPr>
            <w:tcW w:w="993" w:type="dxa"/>
            <w:vMerge w:val="continue"/>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936" w:type="dxa"/>
          </w:tcPr>
          <w:p>
            <w:pPr>
              <w:spacing w:line="620" w:lineRule="exact"/>
              <w:jc w:val="center"/>
              <w:rPr>
                <w:rFonts w:hint="eastAsia" w:eastAsia="仿宋_GB2312" w:cs="仿宋_GB2312"/>
                <w:sz w:val="24"/>
                <w:szCs w:val="24"/>
              </w:rPr>
            </w:pPr>
          </w:p>
        </w:tc>
        <w:tc>
          <w:tcPr>
            <w:tcW w:w="853" w:type="dxa"/>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1275" w:type="dxa"/>
            <w:vAlign w:val="center"/>
          </w:tcPr>
          <w:p>
            <w:pPr>
              <w:spacing w:line="620" w:lineRule="exact"/>
              <w:jc w:val="center"/>
              <w:rPr>
                <w:rFonts w:hint="eastAsia" w:eastAsia="仿宋_GB2312" w:cs="仿宋_GB2312"/>
                <w:sz w:val="24"/>
                <w:szCs w:val="24"/>
              </w:rPr>
            </w:pPr>
          </w:p>
        </w:tc>
        <w:tc>
          <w:tcPr>
            <w:tcW w:w="2464" w:type="dxa"/>
            <w:vAlign w:val="center"/>
          </w:tcPr>
          <w:p>
            <w:pPr>
              <w:spacing w:line="620" w:lineRule="exact"/>
              <w:jc w:val="center"/>
              <w:rPr>
                <w:rFonts w:hint="eastAsia" w:eastAsia="仿宋_GB2312" w:cs="仿宋_GB2312"/>
                <w:sz w:val="24"/>
                <w:szCs w:val="24"/>
              </w:rPr>
            </w:pPr>
          </w:p>
        </w:tc>
        <w:tc>
          <w:tcPr>
            <w:tcW w:w="903" w:type="dxa"/>
            <w:vAlign w:val="center"/>
          </w:tcPr>
          <w:p>
            <w:pPr>
              <w:spacing w:line="620" w:lineRule="exact"/>
              <w:jc w:val="center"/>
              <w:rPr>
                <w:rFonts w:hint="eastAsia" w:eastAsia="仿宋_GB2312" w:cs="仿宋_GB2312"/>
                <w:sz w:val="24"/>
                <w:szCs w:val="24"/>
              </w:rPr>
            </w:pPr>
          </w:p>
        </w:tc>
      </w:tr>
    </w:tbl>
    <w:p>
      <w:pPr>
        <w:spacing w:line="560" w:lineRule="exact"/>
        <w:rPr>
          <w:rFonts w:hint="eastAsia" w:cs="Times New Roman"/>
        </w:rPr>
      </w:pPr>
      <w:r>
        <w:rPr>
          <w:rFonts w:cs="Times New Roman"/>
        </w:rPr>
        <w:br w:type="page"/>
      </w:r>
    </w:p>
    <w:tbl>
      <w:tblPr>
        <w:tblStyle w:val="27"/>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3"/>
        <w:gridCol w:w="2704"/>
        <w:gridCol w:w="71"/>
        <w:gridCol w:w="2710"/>
        <w:gridCol w:w="54"/>
        <w:gridCol w:w="1697"/>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3830" w:type="dxa"/>
            <w:gridSpan w:val="10"/>
            <w:vAlign w:val="center"/>
          </w:tcPr>
          <w:p>
            <w:pPr>
              <w:spacing w:line="500" w:lineRule="exact"/>
              <w:ind w:left="-105" w:leftChars="-50" w:right="-105" w:rightChars="-50"/>
              <w:jc w:val="center"/>
              <w:rPr>
                <w:rFonts w:hint="eastAsia" w:eastAsia="仿宋_GB2312" w:cs="Times New Roman"/>
                <w:b/>
                <w:bCs/>
                <w:sz w:val="28"/>
                <w:szCs w:val="28"/>
              </w:rPr>
            </w:pPr>
            <w:r>
              <w:rPr>
                <w:rFonts w:hint="eastAsia" w:eastAsia="仿宋_GB2312" w:cs="仿宋_GB2312"/>
                <w:b/>
                <w:bCs/>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废物名称</w:t>
            </w:r>
          </w:p>
        </w:tc>
        <w:tc>
          <w:tcPr>
            <w:tcW w:w="2704" w:type="dxa"/>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是否危险废物</w:t>
            </w:r>
          </w:p>
        </w:tc>
        <w:tc>
          <w:tcPr>
            <w:tcW w:w="2835" w:type="dxa"/>
            <w:gridSpan w:val="3"/>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处理处置方式</w:t>
            </w:r>
          </w:p>
        </w:tc>
        <w:tc>
          <w:tcPr>
            <w:tcW w:w="3260" w:type="dxa"/>
            <w:gridSpan w:val="2"/>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处理处置数量（kg）</w:t>
            </w:r>
          </w:p>
        </w:tc>
        <w:tc>
          <w:tcPr>
            <w:tcW w:w="2462" w:type="dxa"/>
            <w:gridSpan w:val="2"/>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污水站污泥</w:t>
            </w:r>
          </w:p>
        </w:tc>
        <w:tc>
          <w:tcPr>
            <w:tcW w:w="270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c>
          <w:tcPr>
            <w:tcW w:w="2835" w:type="dxa"/>
            <w:gridSpan w:val="3"/>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环卫部门定期清运</w:t>
            </w:r>
          </w:p>
        </w:tc>
        <w:tc>
          <w:tcPr>
            <w:tcW w:w="3260" w:type="dxa"/>
            <w:gridSpan w:val="2"/>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w:t>
            </w:r>
          </w:p>
        </w:tc>
        <w:tc>
          <w:tcPr>
            <w:tcW w:w="2462" w:type="dxa"/>
            <w:gridSpan w:val="2"/>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环卫站统一处理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废包装</w:t>
            </w:r>
          </w:p>
        </w:tc>
        <w:tc>
          <w:tcPr>
            <w:tcW w:w="270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c>
          <w:tcPr>
            <w:tcW w:w="2835" w:type="dxa"/>
            <w:gridSpan w:val="3"/>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外售废品回收站</w:t>
            </w:r>
          </w:p>
        </w:tc>
        <w:tc>
          <w:tcPr>
            <w:tcW w:w="3260" w:type="dxa"/>
            <w:gridSpan w:val="2"/>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462" w:type="dxa"/>
            <w:gridSpan w:val="2"/>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废品回收站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生活垃圾</w:t>
            </w:r>
          </w:p>
        </w:tc>
        <w:tc>
          <w:tcPr>
            <w:tcW w:w="2704" w:type="dxa"/>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c>
          <w:tcPr>
            <w:tcW w:w="2835" w:type="dxa"/>
            <w:gridSpan w:val="3"/>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环卫部门统一处理</w:t>
            </w:r>
          </w:p>
        </w:tc>
        <w:tc>
          <w:tcPr>
            <w:tcW w:w="3260" w:type="dxa"/>
            <w:gridSpan w:val="2"/>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2462" w:type="dxa"/>
            <w:gridSpan w:val="2"/>
            <w:vAlign w:val="center"/>
          </w:tcPr>
          <w:p>
            <w:pPr>
              <w:spacing w:line="6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0"/>
            <w:vAlign w:val="center"/>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噪声（</w:t>
            </w:r>
            <w:r>
              <w:rPr>
                <w:rFonts w:hint="eastAsia" w:eastAsia="仿宋_GB2312" w:cs="仿宋_GB2312"/>
                <w:b/>
                <w:bCs/>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厂界位置</w:t>
            </w:r>
          </w:p>
        </w:tc>
        <w:tc>
          <w:tcPr>
            <w:tcW w:w="5485" w:type="dxa"/>
            <w:gridSpan w:val="3"/>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噪声值（</w:t>
            </w:r>
            <w:r>
              <w:rPr>
                <w:rFonts w:eastAsia="仿宋_GB2312"/>
                <w:color w:val="000000"/>
                <w:sz w:val="24"/>
                <w:szCs w:val="24"/>
              </w:rPr>
              <w:t>dB</w:t>
            </w:r>
            <w:r>
              <w:rPr>
                <w:rFonts w:hint="eastAsia" w:eastAsia="仿宋_GB2312" w:cs="仿宋_GB2312"/>
                <w:color w:val="000000"/>
                <w:sz w:val="24"/>
                <w:szCs w:val="24"/>
              </w:rPr>
              <w:t>）</w:t>
            </w:r>
          </w:p>
        </w:tc>
        <w:tc>
          <w:tcPr>
            <w:tcW w:w="3321" w:type="dxa"/>
            <w:gridSpan w:val="4"/>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执行的厂界噪声排放标准限值（</w:t>
            </w:r>
            <w:r>
              <w:rPr>
                <w:rFonts w:eastAsia="仿宋_GB2312"/>
                <w:color w:val="000000"/>
                <w:sz w:val="24"/>
                <w:szCs w:val="24"/>
              </w:rPr>
              <w:t>dB</w:t>
            </w:r>
            <w:r>
              <w:rPr>
                <w:rFonts w:hint="eastAsia" w:eastAsia="仿宋_GB2312" w:cs="仿宋_GB2312"/>
                <w:color w:val="000000"/>
                <w:sz w:val="24"/>
                <w:szCs w:val="24"/>
              </w:rPr>
              <w:t>）</w:t>
            </w:r>
          </w:p>
        </w:tc>
        <w:tc>
          <w:tcPr>
            <w:tcW w:w="2455" w:type="dxa"/>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超标</w:t>
            </w:r>
          </w:p>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continue"/>
            <w:vAlign w:val="center"/>
          </w:tcPr>
          <w:p>
            <w:pPr>
              <w:widowControl/>
              <w:jc w:val="left"/>
              <w:rPr>
                <w:rFonts w:hint="eastAsia" w:eastAsia="仿宋_GB2312" w:cs="Times New Roman"/>
                <w:color w:val="000000"/>
                <w:sz w:val="24"/>
                <w:szCs w:val="24"/>
              </w:rPr>
            </w:pPr>
          </w:p>
        </w:tc>
        <w:tc>
          <w:tcPr>
            <w:tcW w:w="2775"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2710" w:type="dxa"/>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1751"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1570"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2455" w:type="dxa"/>
            <w:vMerge w:val="continue"/>
            <w:vAlign w:val="center"/>
          </w:tcPr>
          <w:p>
            <w:pPr>
              <w:widowControl/>
              <w:jc w:val="left"/>
              <w:rPr>
                <w:rFonts w:hint="eastAsia"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2569"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东</w:t>
            </w:r>
          </w:p>
        </w:tc>
        <w:tc>
          <w:tcPr>
            <w:tcW w:w="2775" w:type="dxa"/>
            <w:gridSpan w:val="2"/>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59.4</w:t>
            </w:r>
          </w:p>
        </w:tc>
        <w:tc>
          <w:tcPr>
            <w:tcW w:w="2710" w:type="dxa"/>
            <w:vAlign w:val="center"/>
          </w:tcPr>
          <w:p>
            <w:pPr>
              <w:spacing w:line="500" w:lineRule="exact"/>
              <w:jc w:val="center"/>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50.5</w:t>
            </w:r>
          </w:p>
        </w:tc>
        <w:tc>
          <w:tcPr>
            <w:tcW w:w="3321" w:type="dxa"/>
            <w:gridSpan w:val="4"/>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65         55</w:t>
            </w:r>
          </w:p>
        </w:tc>
        <w:tc>
          <w:tcPr>
            <w:tcW w:w="2455" w:type="dxa"/>
            <w:vAlign w:val="center"/>
          </w:tcPr>
          <w:p>
            <w:pPr>
              <w:spacing w:line="5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南</w:t>
            </w:r>
          </w:p>
        </w:tc>
        <w:tc>
          <w:tcPr>
            <w:tcW w:w="2775" w:type="dxa"/>
            <w:gridSpan w:val="2"/>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62.7</w:t>
            </w:r>
          </w:p>
        </w:tc>
        <w:tc>
          <w:tcPr>
            <w:tcW w:w="2710" w:type="dxa"/>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52.7</w:t>
            </w:r>
          </w:p>
        </w:tc>
        <w:tc>
          <w:tcPr>
            <w:tcW w:w="3321" w:type="dxa"/>
            <w:gridSpan w:val="4"/>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65         55</w:t>
            </w:r>
          </w:p>
        </w:tc>
        <w:tc>
          <w:tcPr>
            <w:tcW w:w="2455"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西</w:t>
            </w:r>
          </w:p>
        </w:tc>
        <w:tc>
          <w:tcPr>
            <w:tcW w:w="2775" w:type="dxa"/>
            <w:gridSpan w:val="2"/>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59.3</w:t>
            </w:r>
          </w:p>
        </w:tc>
        <w:tc>
          <w:tcPr>
            <w:tcW w:w="2710" w:type="dxa"/>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49.8</w:t>
            </w:r>
          </w:p>
        </w:tc>
        <w:tc>
          <w:tcPr>
            <w:tcW w:w="3321" w:type="dxa"/>
            <w:gridSpan w:val="4"/>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65         55</w:t>
            </w:r>
          </w:p>
        </w:tc>
        <w:tc>
          <w:tcPr>
            <w:tcW w:w="2455"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北</w:t>
            </w:r>
          </w:p>
        </w:tc>
        <w:tc>
          <w:tcPr>
            <w:tcW w:w="2775" w:type="dxa"/>
            <w:gridSpan w:val="2"/>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63.85</w:t>
            </w:r>
          </w:p>
        </w:tc>
        <w:tc>
          <w:tcPr>
            <w:tcW w:w="2710" w:type="dxa"/>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52.1</w:t>
            </w:r>
          </w:p>
        </w:tc>
        <w:tc>
          <w:tcPr>
            <w:tcW w:w="3321" w:type="dxa"/>
            <w:gridSpan w:val="4"/>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65         55</w:t>
            </w:r>
          </w:p>
        </w:tc>
        <w:tc>
          <w:tcPr>
            <w:tcW w:w="2455"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tcPr>
          <w:p>
            <w:pPr>
              <w:spacing w:line="500" w:lineRule="exact"/>
              <w:jc w:val="center"/>
              <w:rPr>
                <w:rFonts w:hint="eastAsia" w:eastAsia="仿宋_GB2312" w:cs="Times New Roman"/>
                <w:sz w:val="28"/>
                <w:szCs w:val="28"/>
              </w:rPr>
            </w:pPr>
          </w:p>
        </w:tc>
        <w:tc>
          <w:tcPr>
            <w:tcW w:w="12554" w:type="dxa"/>
            <w:gridSpan w:val="9"/>
          </w:tcPr>
          <w:p>
            <w:pPr>
              <w:spacing w:line="500" w:lineRule="exact"/>
              <w:jc w:val="center"/>
              <w:rPr>
                <w:rFonts w:hint="eastAsia" w:eastAsia="仿宋_GB2312" w:cs="Times New Roman"/>
                <w:sz w:val="28"/>
                <w:szCs w:val="28"/>
              </w:rPr>
            </w:pPr>
          </w:p>
        </w:tc>
      </w:tr>
    </w:tbl>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三、防治污染设施的建设和运行情况</w:t>
      </w:r>
    </w:p>
    <w:tbl>
      <w:tblPr>
        <w:tblStyle w:val="27"/>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设施类别</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防治污染设施名称</w:t>
            </w:r>
          </w:p>
        </w:tc>
        <w:tc>
          <w:tcPr>
            <w:tcW w:w="155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投运时间</w:t>
            </w:r>
          </w:p>
        </w:tc>
        <w:tc>
          <w:tcPr>
            <w:tcW w:w="170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处理能力</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运行情况</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水污染物</w:t>
            </w:r>
          </w:p>
        </w:tc>
        <w:tc>
          <w:tcPr>
            <w:tcW w:w="4282"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 xml:space="preserve">  </w:t>
            </w:r>
          </w:p>
        </w:tc>
        <w:tc>
          <w:tcPr>
            <w:tcW w:w="1559"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1701"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2126" w:type="dxa"/>
            <w:vAlign w:val="center"/>
          </w:tcPr>
          <w:p>
            <w:pPr>
              <w:spacing w:line="560" w:lineRule="exact"/>
              <w:ind w:left="-105" w:leftChars="-50" w:right="-105" w:rightChars="-50"/>
              <w:jc w:val="center"/>
              <w:rPr>
                <w:rFonts w:hint="eastAsia" w:eastAsia="仿宋_GB2312" w:cs="仿宋_GB2312"/>
                <w:sz w:val="24"/>
                <w:szCs w:val="24"/>
                <w:lang w:eastAsia="zh-CN"/>
              </w:rPr>
            </w:pPr>
          </w:p>
        </w:tc>
        <w:tc>
          <w:tcPr>
            <w:tcW w:w="1843" w:type="dxa"/>
            <w:vAlign w:val="center"/>
          </w:tcPr>
          <w:p>
            <w:pPr>
              <w:spacing w:line="560" w:lineRule="exact"/>
              <w:ind w:left="-105" w:leftChars="-50" w:right="-105" w:rightChars="-50"/>
              <w:jc w:val="center"/>
              <w:rPr>
                <w:rFonts w:hint="eastAsia"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1559"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1701"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2126" w:type="dxa"/>
            <w:vAlign w:val="center"/>
          </w:tcPr>
          <w:p>
            <w:pPr>
              <w:spacing w:line="560" w:lineRule="exact"/>
              <w:ind w:left="-105" w:leftChars="-50" w:right="-105" w:rightChars="-50"/>
              <w:jc w:val="center"/>
              <w:rPr>
                <w:rFonts w:hint="eastAsia" w:eastAsia="仿宋_GB2312" w:cs="仿宋_GB2312"/>
                <w:sz w:val="24"/>
                <w:szCs w:val="24"/>
              </w:rPr>
            </w:pPr>
          </w:p>
        </w:tc>
        <w:tc>
          <w:tcPr>
            <w:tcW w:w="1843" w:type="dxa"/>
            <w:vAlign w:val="center"/>
          </w:tcPr>
          <w:p>
            <w:pPr>
              <w:spacing w:line="560" w:lineRule="exact"/>
              <w:ind w:left="-105" w:leftChars="-50" w:right="-105" w:rightChars="-50"/>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仿宋_GB2312"/>
                <w:sz w:val="24"/>
                <w:szCs w:val="24"/>
              </w:rPr>
            </w:pPr>
          </w:p>
        </w:tc>
        <w:tc>
          <w:tcPr>
            <w:tcW w:w="1559" w:type="dxa"/>
            <w:vAlign w:val="center"/>
          </w:tcPr>
          <w:p>
            <w:pPr>
              <w:spacing w:line="560" w:lineRule="exact"/>
              <w:ind w:left="-105" w:leftChars="-50" w:right="-105" w:rightChars="-50"/>
              <w:jc w:val="center"/>
              <w:rPr>
                <w:rFonts w:hint="eastAsia" w:eastAsia="仿宋_GB2312" w:cs="仿宋_GB2312"/>
                <w:sz w:val="24"/>
                <w:szCs w:val="24"/>
              </w:rPr>
            </w:pPr>
          </w:p>
        </w:tc>
        <w:tc>
          <w:tcPr>
            <w:tcW w:w="1701" w:type="dxa"/>
            <w:vAlign w:val="center"/>
          </w:tcPr>
          <w:p>
            <w:pPr>
              <w:spacing w:line="560" w:lineRule="exact"/>
              <w:ind w:left="-105" w:leftChars="-50" w:right="-105" w:rightChars="-50"/>
              <w:jc w:val="center"/>
              <w:rPr>
                <w:rFonts w:hint="eastAsia" w:eastAsia="仿宋_GB2312" w:cs="仿宋_GB2312"/>
                <w:sz w:val="24"/>
                <w:szCs w:val="24"/>
              </w:rPr>
            </w:pPr>
          </w:p>
        </w:tc>
        <w:tc>
          <w:tcPr>
            <w:tcW w:w="2126" w:type="dxa"/>
            <w:vAlign w:val="center"/>
          </w:tcPr>
          <w:p>
            <w:pPr>
              <w:spacing w:line="560" w:lineRule="exact"/>
              <w:ind w:left="-105" w:leftChars="-50" w:right="-105" w:rightChars="-50"/>
              <w:jc w:val="center"/>
              <w:rPr>
                <w:rFonts w:hint="eastAsia" w:eastAsia="仿宋_GB2312" w:cs="仿宋_GB2312"/>
                <w:sz w:val="24"/>
                <w:szCs w:val="24"/>
              </w:rPr>
            </w:pPr>
          </w:p>
        </w:tc>
        <w:tc>
          <w:tcPr>
            <w:tcW w:w="1843" w:type="dxa"/>
            <w:vAlign w:val="center"/>
          </w:tcPr>
          <w:p>
            <w:pPr>
              <w:spacing w:line="560" w:lineRule="exact"/>
              <w:ind w:left="-105" w:leftChars="-50" w:right="-105" w:rightChars="-50"/>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仿宋_GB2312"/>
                <w:sz w:val="24"/>
                <w:szCs w:val="24"/>
              </w:rPr>
            </w:pPr>
          </w:p>
        </w:tc>
        <w:tc>
          <w:tcPr>
            <w:tcW w:w="1559" w:type="dxa"/>
            <w:vAlign w:val="center"/>
          </w:tcPr>
          <w:p>
            <w:pPr>
              <w:spacing w:line="560" w:lineRule="exact"/>
              <w:ind w:left="-105" w:leftChars="-50" w:right="-105" w:rightChars="-50"/>
              <w:jc w:val="center"/>
              <w:rPr>
                <w:rFonts w:hint="eastAsia" w:eastAsia="仿宋_GB2312" w:cs="仿宋_GB2312"/>
                <w:sz w:val="24"/>
                <w:szCs w:val="24"/>
              </w:rPr>
            </w:pPr>
          </w:p>
        </w:tc>
        <w:tc>
          <w:tcPr>
            <w:tcW w:w="1701" w:type="dxa"/>
            <w:vAlign w:val="center"/>
          </w:tcPr>
          <w:p>
            <w:pPr>
              <w:spacing w:line="560" w:lineRule="exact"/>
              <w:ind w:left="-105" w:leftChars="-50" w:right="-105" w:rightChars="-50"/>
              <w:jc w:val="center"/>
              <w:rPr>
                <w:rFonts w:hint="eastAsia" w:eastAsia="仿宋_GB2312" w:cs="仿宋_GB2312"/>
                <w:sz w:val="24"/>
                <w:szCs w:val="24"/>
              </w:rPr>
            </w:pPr>
          </w:p>
        </w:tc>
        <w:tc>
          <w:tcPr>
            <w:tcW w:w="2126" w:type="dxa"/>
            <w:vAlign w:val="center"/>
          </w:tcPr>
          <w:p>
            <w:pPr>
              <w:spacing w:line="560" w:lineRule="exact"/>
              <w:ind w:left="-105" w:leftChars="-50" w:right="-105" w:rightChars="-50"/>
              <w:jc w:val="center"/>
              <w:rPr>
                <w:rFonts w:hint="eastAsia" w:eastAsia="仿宋_GB2312" w:cs="仿宋_GB2312"/>
                <w:sz w:val="24"/>
                <w:szCs w:val="24"/>
              </w:rPr>
            </w:pPr>
          </w:p>
        </w:tc>
        <w:tc>
          <w:tcPr>
            <w:tcW w:w="1843" w:type="dxa"/>
            <w:vAlign w:val="center"/>
          </w:tcPr>
          <w:p>
            <w:pPr>
              <w:spacing w:line="560" w:lineRule="exact"/>
              <w:ind w:left="-105" w:leftChars="-50" w:right="-105" w:rightChars="-50"/>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大气污染物</w:t>
            </w:r>
          </w:p>
        </w:tc>
        <w:tc>
          <w:tcPr>
            <w:tcW w:w="4282"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氨气吸收装置</w:t>
            </w:r>
          </w:p>
        </w:tc>
        <w:tc>
          <w:tcPr>
            <w:tcW w:w="1559"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2017年</w:t>
            </w:r>
          </w:p>
        </w:tc>
        <w:tc>
          <w:tcPr>
            <w:tcW w:w="1701"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10m3/h</w:t>
            </w:r>
          </w:p>
        </w:tc>
        <w:tc>
          <w:tcPr>
            <w:tcW w:w="2126"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正常</w:t>
            </w:r>
          </w:p>
        </w:tc>
        <w:tc>
          <w:tcPr>
            <w:tcW w:w="1843"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固体废物</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噪声</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hint="eastAsia" w:eastAsia="黑体" w:cs="Times New Roman"/>
          <w:sz w:val="32"/>
          <w:szCs w:val="32"/>
        </w:rPr>
      </w:pPr>
      <w:r>
        <w:rPr>
          <w:rFonts w:hint="eastAsia" w:eastAsia="黑体" w:cs="黑体"/>
          <w:sz w:val="32"/>
          <w:szCs w:val="32"/>
        </w:rPr>
        <w:t>四、建设项目环境影响评价及其他环境保护行政许可情况</w:t>
      </w:r>
    </w:p>
    <w:tbl>
      <w:tblPr>
        <w:tblStyle w:val="27"/>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vAlign w:val="center"/>
          </w:tcPr>
          <w:p>
            <w:pPr>
              <w:spacing w:line="560" w:lineRule="exact"/>
              <w:jc w:val="center"/>
              <w:rPr>
                <w:rFonts w:hint="eastAsia" w:eastAsia="仿宋_GB2312" w:cs="Times New Roman"/>
                <w:b/>
                <w:bCs/>
                <w:sz w:val="28"/>
                <w:szCs w:val="28"/>
              </w:rPr>
            </w:pPr>
            <w:r>
              <w:rPr>
                <w:rFonts w:eastAsia="仿宋_GB2312" w:cs="Times New Roman"/>
                <w:sz w:val="32"/>
                <w:szCs w:val="32"/>
              </w:rPr>
              <w:br w:type="page"/>
            </w:r>
            <w:r>
              <w:rPr>
                <w:rFonts w:hint="eastAsia" w:eastAsia="仿宋_GB2312" w:cs="仿宋_GB2312"/>
                <w:b/>
                <w:bCs/>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建设项目名称</w:t>
            </w:r>
          </w:p>
        </w:tc>
        <w:tc>
          <w:tcPr>
            <w:tcW w:w="201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环评批复单位</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环评批复时间</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环评批复文号</w:t>
            </w:r>
          </w:p>
        </w:tc>
        <w:tc>
          <w:tcPr>
            <w:tcW w:w="172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竣工验收单位</w:t>
            </w:r>
          </w:p>
        </w:tc>
        <w:tc>
          <w:tcPr>
            <w:tcW w:w="153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竣工验收时间</w:t>
            </w:r>
          </w:p>
        </w:tc>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年产1.8亿避孕套生产线</w:t>
            </w:r>
          </w:p>
        </w:tc>
        <w:tc>
          <w:tcPr>
            <w:tcW w:w="2013" w:type="dxa"/>
            <w:vAlign w:val="center"/>
          </w:tcPr>
          <w:p>
            <w:pPr>
              <w:spacing w:line="56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保定市环境保护局白沟新城分局</w:t>
            </w:r>
          </w:p>
        </w:tc>
        <w:tc>
          <w:tcPr>
            <w:tcW w:w="1531"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2018.12</w:t>
            </w:r>
          </w:p>
        </w:tc>
        <w:tc>
          <w:tcPr>
            <w:tcW w:w="1531"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保白环表验【2018】12号</w:t>
            </w:r>
          </w:p>
        </w:tc>
        <w:tc>
          <w:tcPr>
            <w:tcW w:w="1729" w:type="dxa"/>
            <w:vAlign w:val="center"/>
          </w:tcPr>
          <w:p>
            <w:pPr>
              <w:spacing w:line="56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保定市环境保护局白沟新城分局</w:t>
            </w:r>
          </w:p>
        </w:tc>
        <w:tc>
          <w:tcPr>
            <w:tcW w:w="1530"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2019.12.23</w:t>
            </w:r>
          </w:p>
        </w:tc>
        <w:tc>
          <w:tcPr>
            <w:tcW w:w="1560"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保白环书【2019】1号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p>
        </w:tc>
        <w:tc>
          <w:tcPr>
            <w:tcW w:w="2013" w:type="dxa"/>
            <w:vAlign w:val="center"/>
          </w:tcPr>
          <w:p>
            <w:pPr>
              <w:spacing w:line="560" w:lineRule="exact"/>
              <w:ind w:left="-105" w:leftChars="-50" w:right="-105" w:rightChars="-50"/>
              <w:jc w:val="center"/>
              <w:rPr>
                <w:rFonts w:hint="eastAsia" w:eastAsia="仿宋_GB2312" w:cs="Times New Roman"/>
                <w:sz w:val="24"/>
                <w:szCs w:val="24"/>
              </w:rPr>
            </w:pPr>
          </w:p>
        </w:tc>
        <w:tc>
          <w:tcPr>
            <w:tcW w:w="1531" w:type="dxa"/>
            <w:vAlign w:val="center"/>
          </w:tcPr>
          <w:p>
            <w:pPr>
              <w:spacing w:line="560" w:lineRule="exact"/>
              <w:ind w:left="-105" w:leftChars="-50" w:right="-105" w:rightChars="-50"/>
              <w:jc w:val="center"/>
              <w:rPr>
                <w:rFonts w:hint="eastAsia" w:eastAsia="仿宋_GB2312" w:cs="Times New Roman"/>
                <w:sz w:val="24"/>
                <w:szCs w:val="24"/>
              </w:rPr>
            </w:pPr>
          </w:p>
        </w:tc>
        <w:tc>
          <w:tcPr>
            <w:tcW w:w="1531" w:type="dxa"/>
            <w:vAlign w:val="center"/>
          </w:tcPr>
          <w:p>
            <w:pPr>
              <w:spacing w:line="560" w:lineRule="exact"/>
              <w:ind w:left="-105" w:leftChars="-50" w:right="-105" w:rightChars="-50"/>
              <w:jc w:val="center"/>
              <w:rPr>
                <w:rFonts w:hint="eastAsia" w:eastAsia="仿宋_GB2312" w:cs="Times New Roman"/>
                <w:sz w:val="24"/>
                <w:szCs w:val="24"/>
              </w:rPr>
            </w:pPr>
          </w:p>
        </w:tc>
        <w:tc>
          <w:tcPr>
            <w:tcW w:w="1729" w:type="dxa"/>
            <w:vAlign w:val="center"/>
          </w:tcPr>
          <w:p>
            <w:pPr>
              <w:spacing w:line="560" w:lineRule="exact"/>
              <w:ind w:left="-105" w:leftChars="-50" w:right="-105" w:rightChars="-50"/>
              <w:jc w:val="center"/>
              <w:rPr>
                <w:rFonts w:hint="eastAsia" w:eastAsia="仿宋_GB2312" w:cs="Times New Roman"/>
                <w:sz w:val="24"/>
                <w:szCs w:val="24"/>
              </w:rPr>
            </w:pPr>
          </w:p>
        </w:tc>
        <w:tc>
          <w:tcPr>
            <w:tcW w:w="1530" w:type="dxa"/>
            <w:vAlign w:val="center"/>
          </w:tcPr>
          <w:p>
            <w:pPr>
              <w:spacing w:line="560" w:lineRule="exact"/>
              <w:ind w:left="-105" w:leftChars="-50" w:right="-105" w:rightChars="-50"/>
              <w:jc w:val="center"/>
              <w:rPr>
                <w:rFonts w:hint="eastAsia" w:eastAsia="仿宋_GB2312" w:cs="Times New Roman"/>
                <w:sz w:val="24"/>
                <w:szCs w:val="24"/>
              </w:rPr>
            </w:pPr>
          </w:p>
        </w:tc>
        <w:tc>
          <w:tcPr>
            <w:tcW w:w="1560"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2013"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729" w:type="dxa"/>
            <w:vAlign w:val="center"/>
          </w:tcPr>
          <w:p>
            <w:pPr>
              <w:spacing w:line="560" w:lineRule="exact"/>
              <w:ind w:left="-105" w:leftChars="-50" w:right="-105" w:rightChars="-50"/>
              <w:jc w:val="center"/>
              <w:rPr>
                <w:rFonts w:hint="eastAsia" w:eastAsia="仿宋_GB2312"/>
                <w:sz w:val="24"/>
                <w:szCs w:val="24"/>
              </w:rPr>
            </w:pPr>
          </w:p>
        </w:tc>
        <w:tc>
          <w:tcPr>
            <w:tcW w:w="1530" w:type="dxa"/>
            <w:vAlign w:val="center"/>
          </w:tcPr>
          <w:p>
            <w:pPr>
              <w:spacing w:line="560" w:lineRule="exact"/>
              <w:ind w:left="-105" w:leftChars="-50" w:right="-105" w:rightChars="-50"/>
              <w:jc w:val="center"/>
              <w:rPr>
                <w:rFonts w:hint="eastAsia" w:eastAsia="仿宋_GB2312"/>
                <w:sz w:val="24"/>
                <w:szCs w:val="24"/>
              </w:rPr>
            </w:pPr>
          </w:p>
        </w:tc>
        <w:tc>
          <w:tcPr>
            <w:tcW w:w="1560"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其他环境保护行政许可情况</w:t>
            </w:r>
          </w:p>
        </w:tc>
        <w:tc>
          <w:tcPr>
            <w:tcW w:w="9894" w:type="dxa"/>
            <w:gridSpan w:val="6"/>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eastAsia="黑体"/>
          <w:sz w:val="32"/>
          <w:szCs w:val="32"/>
          <w:highlight w:val="none"/>
        </w:rPr>
      </w:pPr>
      <w:r>
        <w:rPr>
          <w:rFonts w:hint="eastAsia" w:eastAsia="黑体"/>
          <w:sz w:val="32"/>
          <w:szCs w:val="32"/>
          <w:highlight w:val="none"/>
        </w:rPr>
        <w:t>五、突发环境事件应急预案</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noWrap w:val="0"/>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53"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无</w:t>
            </w:r>
          </w:p>
        </w:tc>
        <w:tc>
          <w:tcPr>
            <w:tcW w:w="2449" w:type="dxa"/>
            <w:noWrap w:val="0"/>
            <w:vAlign w:val="center"/>
          </w:tcPr>
          <w:p>
            <w:pPr>
              <w:spacing w:line="560" w:lineRule="exact"/>
              <w:ind w:left="-105" w:leftChars="-50" w:right="-105" w:rightChars="-50"/>
              <w:jc w:val="center"/>
              <w:rPr>
                <w:rFonts w:eastAsia="仿宋_GB2312"/>
                <w:sz w:val="24"/>
              </w:rPr>
            </w:pPr>
            <w:bookmarkStart w:id="0" w:name="_GoBack"/>
            <w:bookmarkEnd w:id="0"/>
            <w:r>
              <w:rPr>
                <w:rFonts w:hint="eastAsia" w:eastAsia="仿宋_GB2312"/>
                <w:sz w:val="24"/>
              </w:rPr>
              <w:t>备案时间</w:t>
            </w:r>
          </w:p>
        </w:tc>
        <w:tc>
          <w:tcPr>
            <w:tcW w:w="6124"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jc w:val="center"/>
        </w:trPr>
        <w:tc>
          <w:tcPr>
            <w:tcW w:w="1328"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026" w:type="dxa"/>
            <w:gridSpan w:val="3"/>
            <w:noWrap w:val="0"/>
            <w:vAlign w:val="center"/>
          </w:tcPr>
          <w:p>
            <w:pPr>
              <w:spacing w:line="560" w:lineRule="exact"/>
              <w:ind w:right="-105" w:rightChars="-50"/>
              <w:jc w:val="center"/>
              <w:rPr>
                <w:rFonts w:hint="eastAsia" w:eastAsia="仿宋_GB2312"/>
                <w:sz w:val="24"/>
                <w:lang w:eastAsia="zh-CN"/>
              </w:rPr>
            </w:pPr>
            <w:r>
              <w:rPr>
                <w:rFonts w:hint="eastAsia" w:eastAsia="仿宋_GB2312"/>
                <w:b/>
                <w:bCs/>
                <w:sz w:val="40"/>
                <w:szCs w:val="40"/>
                <w:lang w:eastAsia="zh-CN"/>
              </w:rPr>
              <w:t>无</w:t>
            </w:r>
          </w:p>
        </w:tc>
      </w:tr>
    </w:tbl>
    <w:p>
      <w:pPr>
        <w:spacing w:line="560" w:lineRule="exact"/>
        <w:rPr>
          <w:rFonts w:hint="eastAsia" w:eastAsia="黑体" w:cs="黑体"/>
          <w:sz w:val="32"/>
          <w:szCs w:val="32"/>
        </w:rPr>
      </w:pPr>
    </w:p>
    <w:p>
      <w:pPr>
        <w:spacing w:line="560" w:lineRule="exact"/>
        <w:ind w:firstLine="204" w:firstLineChars="64"/>
        <w:rPr>
          <w:rFonts w:hint="eastAsia" w:eastAsia="黑体" w:cs="黑体"/>
          <w:sz w:val="32"/>
          <w:szCs w:val="32"/>
          <w:highlight w:val="yellow"/>
        </w:rPr>
      </w:pPr>
    </w:p>
    <w:p>
      <w:pPr>
        <w:spacing w:line="560" w:lineRule="exact"/>
        <w:ind w:firstLine="204" w:firstLineChars="64"/>
        <w:rPr>
          <w:rFonts w:hint="eastAsia" w:eastAsia="黑体" w:cs="黑体"/>
          <w:sz w:val="32"/>
          <w:szCs w:val="32"/>
          <w:highlight w:val="yellow"/>
        </w:rPr>
      </w:pPr>
    </w:p>
    <w:p>
      <w:pPr>
        <w:spacing w:line="560" w:lineRule="exact"/>
        <w:ind w:firstLine="204" w:firstLineChars="64"/>
        <w:rPr>
          <w:rFonts w:hint="eastAsia" w:eastAsia="黑体" w:cs="黑体"/>
          <w:sz w:val="32"/>
          <w:szCs w:val="32"/>
          <w:highlight w:val="yellow"/>
        </w:rPr>
      </w:pPr>
    </w:p>
    <w:p>
      <w:pPr>
        <w:spacing w:line="560" w:lineRule="exact"/>
        <w:ind w:firstLine="204" w:firstLineChars="64"/>
        <w:rPr>
          <w:rFonts w:hint="eastAsia" w:eastAsia="黑体" w:cs="Times New Roman"/>
          <w:sz w:val="32"/>
          <w:szCs w:val="32"/>
          <w:highlight w:val="none"/>
        </w:rPr>
      </w:pPr>
      <w:r>
        <w:rPr>
          <w:rFonts w:hint="eastAsia" w:eastAsia="黑体" w:cs="黑体"/>
          <w:sz w:val="32"/>
          <w:szCs w:val="32"/>
          <w:highlight w:val="none"/>
        </w:rPr>
        <w:t>六、环境自行监测方案</w:t>
      </w:r>
    </w:p>
    <w:tbl>
      <w:tblPr>
        <w:tblStyle w:val="27"/>
        <w:tblW w:w="14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1" w:hRule="atLeast"/>
          <w:jc w:val="center"/>
        </w:trPr>
        <w:tc>
          <w:tcPr>
            <w:tcW w:w="2035" w:type="dxa"/>
            <w:vAlign w:val="center"/>
          </w:tcPr>
          <w:p>
            <w:pPr>
              <w:spacing w:line="560" w:lineRule="exact"/>
              <w:jc w:val="center"/>
              <w:rPr>
                <w:rFonts w:hint="eastAsia" w:eastAsia="仿宋_GB2312" w:cs="Times New Roman"/>
                <w:b/>
                <w:bCs/>
                <w:sz w:val="28"/>
                <w:szCs w:val="28"/>
              </w:rPr>
            </w:pPr>
            <w:r>
              <w:rPr>
                <w:rFonts w:hint="eastAsia" w:eastAsia="仿宋_GB2312" w:cs="仿宋_GB2312"/>
                <w:b/>
                <w:bCs/>
                <w:sz w:val="28"/>
                <w:szCs w:val="28"/>
              </w:rPr>
              <w:t>主要内容</w:t>
            </w:r>
          </w:p>
        </w:tc>
        <w:tc>
          <w:tcPr>
            <w:tcW w:w="12504"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，企业概况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仿宋" w:hAnsi="仿宋" w:eastAsia="仿宋" w:cs="仿宋"/>
                <w:color w:val="000000"/>
                <w:sz w:val="24"/>
                <w:lang w:eastAsia="zh-CN"/>
              </w:rPr>
            </w:pPr>
            <w:r>
              <w:rPr>
                <w:rFonts w:hint="eastAsia" w:ascii="仿宋" w:hAnsi="仿宋" w:eastAsia="仿宋" w:cs="仿宋"/>
                <w:color w:val="000000"/>
                <w:sz w:val="24"/>
                <w:lang w:eastAsia="zh-CN"/>
              </w:rPr>
              <w:t>中拓河北乳胶科技发展有限公司位于白沟新城五一路北侧（东经</w:t>
            </w:r>
            <w:r>
              <w:rPr>
                <w:rFonts w:hint="eastAsia" w:ascii="仿宋" w:hAnsi="仿宋" w:eastAsia="仿宋" w:cs="仿宋"/>
                <w:color w:val="000000"/>
                <w:sz w:val="24"/>
                <w:lang w:val="en-US" w:eastAsia="zh-CN"/>
              </w:rPr>
              <w:t>116°2′43.27″，北纬39°7′46.63″</w:t>
            </w:r>
            <w:r>
              <w:rPr>
                <w:rFonts w:hint="eastAsia" w:ascii="仿宋" w:hAnsi="仿宋" w:eastAsia="仿宋" w:cs="仿宋"/>
                <w:color w:val="000000"/>
                <w:sz w:val="24"/>
                <w:lang w:eastAsia="zh-CN"/>
              </w:rPr>
              <w:t>），占地面积</w:t>
            </w:r>
            <w:r>
              <w:rPr>
                <w:rFonts w:hint="eastAsia" w:ascii="仿宋" w:hAnsi="仿宋" w:eastAsia="仿宋" w:cs="仿宋"/>
                <w:color w:val="000000"/>
                <w:sz w:val="24"/>
                <w:lang w:val="en-US" w:eastAsia="zh-CN"/>
              </w:rPr>
              <w:t>6020㎡，厂区西侧为箱包配件厂，东侧为饭店，北侧隔路为不锈钢模具厂，南侧紧邻五一路。建设有生产车间，办公区，食堂，宿舍，仓库等。公司成立于2015年11月18日，项目产品为避孕套，</w:t>
            </w:r>
            <w:r>
              <w:rPr>
                <w:rFonts w:hint="eastAsia" w:ascii="仿宋" w:hAnsi="仿宋" w:eastAsia="仿宋" w:cs="仿宋"/>
                <w:color w:val="000000"/>
                <w:sz w:val="24"/>
                <w:lang w:eastAsia="zh-CN"/>
              </w:rPr>
              <w:t>项目产品为避孕套，设有两条联动生产线，生产用热</w:t>
            </w:r>
            <w:r>
              <w:rPr>
                <w:rFonts w:hint="eastAsia" w:ascii="仿宋" w:hAnsi="仿宋" w:eastAsia="仿宋" w:cs="仿宋"/>
                <w:color w:val="000000"/>
                <w:sz w:val="24"/>
                <w:lang w:val="en-US" w:eastAsia="zh-CN"/>
              </w:rPr>
              <w:t>由</w:t>
            </w:r>
            <w:r>
              <w:rPr>
                <w:rFonts w:hint="eastAsia" w:ascii="仿宋" w:hAnsi="仿宋" w:eastAsia="仿宋" w:cs="仿宋"/>
                <w:color w:val="000000"/>
                <w:sz w:val="24"/>
                <w:lang w:eastAsia="zh-CN"/>
              </w:rPr>
              <w:t>厂内一台</w:t>
            </w:r>
            <w:r>
              <w:rPr>
                <w:rFonts w:hint="eastAsia" w:ascii="仿宋" w:hAnsi="仿宋" w:eastAsia="仿宋" w:cs="仿宋"/>
                <w:color w:val="000000"/>
                <w:sz w:val="24"/>
                <w:lang w:val="en-US" w:eastAsia="zh-CN"/>
              </w:rPr>
              <w:t>4t/h燃气蒸汽锅炉提供。</w:t>
            </w:r>
            <w:r>
              <w:rPr>
                <w:rFonts w:hint="eastAsia" w:ascii="仿宋" w:hAnsi="仿宋" w:eastAsia="仿宋" w:cs="仿宋"/>
                <w:color w:val="000000"/>
                <w:sz w:val="24"/>
                <w:highlight w:val="none"/>
                <w:lang w:val="en-US" w:eastAsia="zh-CN"/>
              </w:rPr>
              <w:t>生产废水经厂内污水处理站处理后排入白沟污水处理厂，生产废气经处理设施处理达标后排入大气。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2" w:firstLineChars="200"/>
              <w:jc w:val="left"/>
              <w:textAlignment w:val="auto"/>
              <w:outlineLvl w:val="9"/>
              <w:rPr>
                <w:rFonts w:hint="eastAsia" w:ascii="仿宋" w:hAnsi="仿宋" w:eastAsia="仿宋" w:cs="仿宋"/>
                <w:b/>
                <w:bCs/>
                <w:color w:val="000000"/>
                <w:sz w:val="24"/>
                <w:lang w:val="en-US" w:eastAsia="zh-CN"/>
              </w:rPr>
            </w:pPr>
            <w:r>
              <w:rPr>
                <w:rFonts w:hint="eastAsia" w:ascii="仿宋" w:hAnsi="仿宋" w:eastAsia="仿宋" w:cs="仿宋"/>
                <w:b/>
                <w:bCs/>
                <w:color w:val="000000"/>
                <w:sz w:val="30"/>
                <w:szCs w:val="30"/>
                <w:lang w:eastAsia="zh-CN"/>
              </w:rPr>
              <w:t>中拓河北乳胶科技发展有限公司年产</w:t>
            </w:r>
            <w:r>
              <w:rPr>
                <w:rFonts w:hint="eastAsia" w:ascii="仿宋" w:hAnsi="仿宋" w:eastAsia="仿宋" w:cs="仿宋"/>
                <w:b/>
                <w:bCs/>
                <w:color w:val="000000"/>
                <w:sz w:val="30"/>
                <w:szCs w:val="30"/>
                <w:lang w:val="en-US" w:eastAsia="zh-CN"/>
              </w:rPr>
              <w:t>1.8亿只避孕套项目特点如下</w:t>
            </w:r>
            <w:r>
              <w:rPr>
                <w:rFonts w:hint="eastAsia" w:ascii="仿宋" w:hAnsi="仿宋" w:eastAsia="仿宋" w:cs="仿宋"/>
                <w:b/>
                <w:bCs/>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仿宋" w:hAnsi="仿宋" w:eastAsia="仿宋" w:cs="仿宋"/>
                <w:color w:val="000000"/>
                <w:lang w:val="en-US" w:eastAsia="zh-CN"/>
              </w:rPr>
            </w:pPr>
            <w:r>
              <w:rPr>
                <w:rFonts w:hint="eastAsia" w:ascii="仿宋" w:hAnsi="仿宋" w:eastAsia="仿宋" w:cs="仿宋"/>
                <w:color w:val="000000"/>
                <w:lang w:val="en-US" w:eastAsia="zh-CN"/>
              </w:rPr>
              <w:t>（1）项目</w:t>
            </w:r>
            <w:r>
              <w:rPr>
                <w:rFonts w:hint="eastAsia" w:ascii="仿宋" w:hAnsi="仿宋" w:eastAsia="仿宋" w:cs="仿宋"/>
                <w:color w:val="000000"/>
                <w:vertAlign w:val="baseline"/>
                <w:lang w:val="en-US" w:eastAsia="zh-CN"/>
              </w:rPr>
              <w:t>目前配料车间乳胶硫化工序及停放工序、浸胶工序及烘干胶膜工序NH</w:t>
            </w:r>
            <w:r>
              <w:rPr>
                <w:rFonts w:hint="eastAsia" w:ascii="仿宋" w:hAnsi="仿宋" w:eastAsia="仿宋" w:cs="仿宋"/>
                <w:color w:val="000000"/>
                <w:vertAlign w:val="subscript"/>
                <w:lang w:val="en-US" w:eastAsia="zh-CN"/>
              </w:rPr>
              <w:t>3</w:t>
            </w:r>
            <w:r>
              <w:rPr>
                <w:rFonts w:hint="eastAsia" w:ascii="仿宋" w:hAnsi="仿宋" w:eastAsia="仿宋" w:cs="仿宋"/>
                <w:color w:val="000000"/>
                <w:vertAlign w:val="baseline"/>
                <w:lang w:val="en-US" w:eastAsia="zh-CN"/>
              </w:rPr>
              <w:t>均通过轴流风机外排，生产线浸氨水工段密闭，该工序上方设置4个排气点，4个排气点经管道连接，浸氨水工序产生NH</w:t>
            </w:r>
            <w:r>
              <w:rPr>
                <w:rFonts w:hint="eastAsia" w:ascii="仿宋" w:hAnsi="仿宋" w:eastAsia="仿宋" w:cs="仿宋"/>
                <w:color w:val="000000"/>
                <w:vertAlign w:val="subscript"/>
                <w:lang w:val="en-US" w:eastAsia="zh-CN"/>
              </w:rPr>
              <w:t>3</w:t>
            </w:r>
            <w:r>
              <w:rPr>
                <w:rFonts w:hint="eastAsia" w:ascii="仿宋" w:hAnsi="仿宋" w:eastAsia="仿宋" w:cs="仿宋"/>
                <w:color w:val="000000"/>
                <w:vertAlign w:val="baseline"/>
                <w:lang w:val="en-US" w:eastAsia="zh-CN"/>
              </w:rPr>
              <w:t>经管道直接排出车间，本项目目前属于无组织排放</w:t>
            </w:r>
            <w:r>
              <w:rPr>
                <w:rFonts w:hint="eastAsia" w:ascii="仿宋" w:hAnsi="仿宋" w:eastAsia="仿宋" w:cs="仿宋"/>
                <w:color w:val="000000"/>
                <w:lang w:val="en-US" w:eastAsia="zh-CN"/>
              </w:rPr>
              <w:t>，为解决项目NH</w:t>
            </w:r>
            <w:r>
              <w:rPr>
                <w:rFonts w:hint="eastAsia" w:ascii="仿宋" w:hAnsi="仿宋" w:eastAsia="仿宋" w:cs="仿宋"/>
                <w:color w:val="000000"/>
                <w:vertAlign w:val="subscript"/>
                <w:lang w:val="en-US" w:eastAsia="zh-CN"/>
              </w:rPr>
              <w:t>3</w:t>
            </w:r>
            <w:r>
              <w:rPr>
                <w:rFonts w:hint="eastAsia" w:ascii="仿宋" w:hAnsi="仿宋" w:eastAsia="仿宋" w:cs="仿宋"/>
                <w:color w:val="000000"/>
                <w:lang w:val="en-US" w:eastAsia="zh-CN"/>
              </w:rPr>
              <w:t>工艺废气无组织排放造成的污染问题，评价要求：将生产线密闭，并设集气孔，使生产线整体处于微负压环境，对生产线产生的NH</w:t>
            </w:r>
            <w:r>
              <w:rPr>
                <w:rFonts w:hint="eastAsia" w:ascii="仿宋" w:hAnsi="仿宋" w:eastAsia="仿宋" w:cs="仿宋"/>
                <w:color w:val="000000"/>
                <w:vertAlign w:val="subscript"/>
                <w:lang w:val="en-US" w:eastAsia="zh-CN"/>
              </w:rPr>
              <w:t>3</w:t>
            </w:r>
            <w:r>
              <w:rPr>
                <w:rFonts w:hint="eastAsia" w:ascii="仿宋" w:hAnsi="仿宋" w:eastAsia="仿宋" w:cs="仿宋"/>
                <w:color w:val="000000"/>
                <w:lang w:val="en-US" w:eastAsia="zh-CN"/>
              </w:rPr>
              <w:t>进行收集；本项目硫化罐运行中采用半固定式盖进行密闭，拟在盖的固定侧设置集气孔，即对硫化罐进行微负压处理，对放料时产生的NH</w:t>
            </w:r>
            <w:r>
              <w:rPr>
                <w:rFonts w:hint="eastAsia" w:ascii="仿宋" w:hAnsi="仿宋" w:eastAsia="仿宋" w:cs="仿宋"/>
                <w:color w:val="000000"/>
                <w:vertAlign w:val="subscript"/>
                <w:lang w:val="en-US" w:eastAsia="zh-CN"/>
              </w:rPr>
              <w:t>3</w:t>
            </w:r>
            <w:r>
              <w:rPr>
                <w:rFonts w:hint="eastAsia" w:ascii="仿宋" w:hAnsi="仿宋" w:eastAsia="仿宋" w:cs="仿宋"/>
                <w:color w:val="000000"/>
                <w:lang w:val="en-US" w:eastAsia="zh-CN"/>
              </w:rPr>
              <w:t>进行收集；由于配料车间的6个停放罐均不同时卸料，采用在停放罐上方设置一移动式集气盖的方式使停放罐卸料时罐口处于微负压环境，对停放罐放料废气进行收集；用风机风量为11000m³/h，配料间及生产线产生的NH</w:t>
            </w:r>
            <w:r>
              <w:rPr>
                <w:rFonts w:hint="eastAsia" w:ascii="仿宋" w:hAnsi="仿宋" w:eastAsia="仿宋" w:cs="仿宋"/>
                <w:color w:val="000000"/>
                <w:vertAlign w:val="subscript"/>
                <w:lang w:val="en-US" w:eastAsia="zh-CN"/>
              </w:rPr>
              <w:t>3</w:t>
            </w:r>
            <w:r>
              <w:rPr>
                <w:rFonts w:hint="eastAsia" w:ascii="仿宋" w:hAnsi="仿宋" w:eastAsia="仿宋" w:cs="仿宋"/>
                <w:color w:val="000000"/>
                <w:lang w:val="en-US" w:eastAsia="zh-CN"/>
              </w:rPr>
              <w:t>经上述集气系统收集后进入氨气吸收装置。项目拟采用水作为NH</w:t>
            </w:r>
            <w:r>
              <w:rPr>
                <w:rFonts w:hint="eastAsia" w:ascii="仿宋" w:hAnsi="仿宋" w:eastAsia="仿宋" w:cs="仿宋"/>
                <w:color w:val="000000"/>
                <w:vertAlign w:val="subscript"/>
                <w:lang w:val="en-US" w:eastAsia="zh-CN"/>
              </w:rPr>
              <w:t>3</w:t>
            </w:r>
            <w:r>
              <w:rPr>
                <w:rFonts w:hint="eastAsia" w:ascii="仿宋" w:hAnsi="仿宋" w:eastAsia="仿宋" w:cs="仿宋"/>
                <w:color w:val="000000"/>
                <w:lang w:val="en-US" w:eastAsia="zh-CN"/>
              </w:rPr>
              <w:t>的吸收液</w:t>
            </w:r>
            <w:r>
              <w:rPr>
                <w:rFonts w:hint="eastAsia" w:ascii="仿宋" w:hAnsi="仿宋" w:eastAsia="仿宋" w:cs="仿宋"/>
                <w:color w:val="000000"/>
                <w:highlight w:val="none"/>
                <w:lang w:val="en-US" w:eastAsia="zh-CN"/>
              </w:rPr>
              <w:t>，吸收液循环使用，循环量为10m³/h，为保证吸收效率，需要定期外排，并定期补充新鲜水，</w:t>
            </w:r>
            <w:r>
              <w:rPr>
                <w:rFonts w:hint="eastAsia" w:ascii="仿宋" w:hAnsi="仿宋" w:eastAsia="仿宋" w:cs="仿宋"/>
                <w:color w:val="000000"/>
                <w:lang w:val="en-US" w:eastAsia="zh-CN"/>
              </w:rPr>
              <w:t>最终经处理后的NH</w:t>
            </w:r>
            <w:r>
              <w:rPr>
                <w:rFonts w:hint="eastAsia" w:ascii="仿宋" w:hAnsi="仿宋" w:eastAsia="仿宋" w:cs="仿宋"/>
                <w:color w:val="000000"/>
                <w:vertAlign w:val="subscript"/>
                <w:lang w:val="en-US" w:eastAsia="zh-CN"/>
              </w:rPr>
              <w:t>3</w:t>
            </w:r>
            <w:r>
              <w:rPr>
                <w:rFonts w:hint="eastAsia" w:ascii="仿宋" w:hAnsi="仿宋" w:eastAsia="仿宋" w:cs="仿宋"/>
                <w:color w:val="000000"/>
                <w:lang w:val="en-US" w:eastAsia="zh-CN"/>
              </w:rPr>
              <w:t>由一根15m高排气筒呈有组织形式排放。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仿宋" w:hAnsi="仿宋" w:eastAsia="仿宋" w:cs="仿宋"/>
                <w:color w:val="000000"/>
                <w:lang w:val="en-US" w:eastAsia="zh-CN"/>
              </w:rPr>
            </w:pPr>
            <w:r>
              <w:rPr>
                <w:rFonts w:hint="eastAsia" w:ascii="仿宋" w:hAnsi="仿宋" w:eastAsia="仿宋" w:cs="仿宋"/>
                <w:color w:val="000000"/>
                <w:lang w:val="en-US" w:eastAsia="zh-CN"/>
              </w:rPr>
              <w:t>（2）项目目前后硫化箱产生的粉尘直接经沉降室沉降后无组织排放，且泡洗液配置过程产生的粉尘无任何治理设施均无组织排放，不符合现行环保要求。</w:t>
            </w:r>
            <w:r>
              <w:rPr>
                <w:rFonts w:hint="eastAsia" w:ascii="仿宋" w:hAnsi="仿宋" w:eastAsia="仿宋" w:cs="仿宋"/>
                <w:color w:val="000000"/>
                <w:sz w:val="24"/>
                <w:lang w:eastAsia="zh-CN"/>
              </w:rPr>
              <w:t>为解决后硫化箱粉尘及泡洗液配置过程中粉尘的无组织排放问题，</w:t>
            </w:r>
            <w:r>
              <w:rPr>
                <w:rFonts w:hint="eastAsia" w:ascii="仿宋" w:hAnsi="仿宋" w:eastAsia="仿宋" w:cs="仿宋"/>
                <w:color w:val="000000"/>
                <w:sz w:val="24"/>
                <w:highlight w:val="none"/>
                <w:lang w:eastAsia="zh-CN"/>
              </w:rPr>
              <w:t>本评价要求将泡洗液搅拌釜上方增设集气罩（共</w:t>
            </w:r>
            <w:r>
              <w:rPr>
                <w:rFonts w:hint="eastAsia" w:ascii="仿宋" w:hAnsi="仿宋" w:eastAsia="仿宋" w:cs="仿宋"/>
                <w:color w:val="000000"/>
                <w:sz w:val="24"/>
                <w:highlight w:val="none"/>
                <w:lang w:val="en-US" w:eastAsia="zh-CN"/>
              </w:rPr>
              <w:t>2个</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lang w:eastAsia="zh-CN"/>
              </w:rPr>
              <w:t>，沉降室后面接一喷淋塔，并增设风机风量为</w:t>
            </w:r>
            <w:r>
              <w:rPr>
                <w:rFonts w:hint="eastAsia" w:ascii="仿宋" w:hAnsi="仿宋" w:eastAsia="仿宋" w:cs="仿宋"/>
                <w:color w:val="000000"/>
                <w:sz w:val="24"/>
                <w:lang w:val="en-US" w:eastAsia="zh-CN"/>
              </w:rPr>
              <w:t>10000m³/h的引风机</w:t>
            </w:r>
            <w:r>
              <w:rPr>
                <w:rFonts w:hint="eastAsia" w:ascii="仿宋" w:hAnsi="仿宋" w:eastAsia="仿宋" w:cs="仿宋"/>
                <w:color w:val="000000"/>
                <w:lang w:val="en-US" w:eastAsia="zh-CN"/>
              </w:rPr>
              <w:t>，使泡洗液搅拌釜处于微负压状态，含尘废气经收集后由引风机引至喷淋塔中进行净化，净化后含尘废气经15m排气筒排放。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仿宋" w:hAnsi="仿宋" w:eastAsia="仿宋" w:cs="仿宋"/>
                <w:color w:val="000000"/>
                <w:lang w:val="en-US" w:eastAsia="zh-CN"/>
              </w:rPr>
            </w:pPr>
            <w:r>
              <w:rPr>
                <w:rFonts w:hint="eastAsia" w:ascii="仿宋" w:hAnsi="仿宋" w:eastAsia="仿宋" w:cs="仿宋"/>
                <w:color w:val="000000"/>
                <w:lang w:val="en-US" w:eastAsia="zh-CN"/>
              </w:rPr>
              <w:t>通过采取上述措施，使乳化硫化工序，停放工序，浸胶、胶膜干燥工序，氨水浸泡工序，乳化后硫化工序，泡洗液配置工序均处于微负压状态，项目无无组织废气产生，不设卫生防护距离及大气防护距离。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仿宋" w:hAnsi="仿宋" w:eastAsia="仿宋" w:cs="仿宋"/>
                <w:color w:val="000000"/>
                <w:lang w:val="en-US" w:eastAsia="zh-CN"/>
              </w:rPr>
            </w:pPr>
            <w:r>
              <w:rPr>
                <w:rFonts w:hint="eastAsia" w:ascii="仿宋" w:hAnsi="仿宋" w:eastAsia="仿宋" w:cs="仿宋"/>
                <w:color w:val="000000"/>
                <w:lang w:val="en-US" w:eastAsia="zh-CN"/>
              </w:rPr>
              <w:t>（3）项目蒸汽锅炉采用天然气作为燃料；</w:t>
            </w:r>
            <w:r>
              <w:rPr>
                <w:rFonts w:hint="eastAsia" w:ascii="仿宋" w:hAnsi="仿宋" w:eastAsia="仿宋" w:cs="仿宋"/>
                <w:color w:val="000000"/>
                <w:sz w:val="24"/>
                <w:lang w:eastAsia="zh-CN"/>
              </w:rPr>
              <w:t>项目目前废水主要包括</w:t>
            </w:r>
            <w:r>
              <w:rPr>
                <w:rFonts w:hint="eastAsia" w:ascii="仿宋" w:hAnsi="仿宋" w:eastAsia="仿宋" w:cs="仿宋"/>
                <w:color w:val="000000"/>
                <w:lang w:val="en-US" w:eastAsia="zh-CN"/>
              </w:rPr>
              <w:t>浸泡液排水、脱模废水、设备及地面清洗废水、泡洗废水、软水制备废水以及停放罐冷却废水，产生量为81.677t/d（24503.1t/a），其中停放罐冷却水为清洁下水，泡洗废水经厂内沉淀池沉淀后与氨水浸泡液排水、脱膜废水、设备及地面清洗废水一起排入城镇污水管网。为解决项目废水超标问题，本评价要求：厂内建设污水处理站，</w:t>
            </w:r>
            <w:r>
              <w:rPr>
                <w:rFonts w:hint="eastAsia" w:ascii="仿宋" w:hAnsi="仿宋" w:eastAsia="仿宋" w:cs="仿宋"/>
                <w:color w:val="000000"/>
                <w:sz w:val="24"/>
                <w:lang w:val="en-US" w:eastAsia="zh-CN"/>
              </w:rPr>
              <w:t>氨气吸收废水的60%回用于生产，其余40%与其他生产废水一起进入厂内建设的污水处理站，</w:t>
            </w:r>
            <w:r>
              <w:rPr>
                <w:rFonts w:hint="eastAsia" w:ascii="仿宋" w:hAnsi="仿宋" w:eastAsia="仿宋" w:cs="仿宋"/>
                <w:color w:val="000000"/>
                <w:lang w:val="en-US" w:eastAsia="zh-CN"/>
              </w:rPr>
              <w:t>污水处理能力为80m³/d，采用“初沉池+絮凝沉淀+污泥脱水”工艺对</w:t>
            </w:r>
            <w:r>
              <w:rPr>
                <w:rFonts w:hint="eastAsia" w:ascii="仿宋" w:hAnsi="仿宋" w:eastAsia="仿宋" w:cs="仿宋"/>
                <w:color w:val="0000FF"/>
                <w:lang w:val="en-US" w:eastAsia="zh-CN"/>
              </w:rPr>
              <w:t>厂</w:t>
            </w:r>
            <w:r>
              <w:rPr>
                <w:rFonts w:hint="eastAsia" w:ascii="仿宋" w:hAnsi="仿宋" w:eastAsia="仿宋" w:cs="仿宋"/>
                <w:color w:val="auto"/>
                <w:lang w:val="en-US" w:eastAsia="zh-CN"/>
              </w:rPr>
              <w:t>内生产废水进行处理，食堂废水经隔油池后与生活污水一起进入化粪池处理，与生产废水一同排入城镇污水管网，最终进入白沟污水处理厂进行深度处理</w:t>
            </w:r>
            <w:r>
              <w:rPr>
                <w:rFonts w:hint="eastAsia" w:ascii="仿宋" w:hAnsi="仿宋" w:eastAsia="仿宋" w:cs="仿宋"/>
                <w:color w:val="000000"/>
                <w:sz w:val="24"/>
                <w:lang w:eastAsia="zh-CN"/>
              </w:rPr>
              <w:t>；</w:t>
            </w:r>
            <w:r>
              <w:rPr>
                <w:rFonts w:hint="eastAsia" w:ascii="仿宋" w:hAnsi="仿宋" w:eastAsia="仿宋" w:cs="仿宋"/>
                <w:color w:val="000000"/>
                <w:lang w:eastAsia="zh-CN"/>
              </w:rPr>
              <w:t>本项目产生的固废</w:t>
            </w:r>
            <w:r>
              <w:rPr>
                <w:rFonts w:hint="eastAsia" w:ascii="仿宋" w:hAnsi="仿宋" w:eastAsia="仿宋" w:cs="仿宋"/>
                <w:color w:val="000000"/>
                <w:sz w:val="24"/>
                <w:lang w:val="en-US" w:eastAsia="zh-CN"/>
              </w:rPr>
              <w:t>主要固体废物为离心渣、不合格品、废包装材料、生活垃圾、污泥</w:t>
            </w:r>
            <w:r>
              <w:rPr>
                <w:rFonts w:hint="eastAsia" w:ascii="仿宋" w:hAnsi="仿宋" w:eastAsia="仿宋" w:cs="仿宋"/>
                <w:color w:val="000000"/>
                <w:sz w:val="24"/>
                <w:lang w:eastAsia="zh-CN"/>
              </w:rPr>
              <w:t>。根据《国家危险废物名录》（</w:t>
            </w:r>
            <w:r>
              <w:rPr>
                <w:rFonts w:hint="eastAsia" w:ascii="仿宋" w:hAnsi="仿宋" w:eastAsia="仿宋" w:cs="仿宋"/>
                <w:color w:val="000000"/>
                <w:sz w:val="24"/>
                <w:lang w:val="en-US" w:eastAsia="zh-CN"/>
              </w:rPr>
              <w:t>2016年</w:t>
            </w:r>
            <w:r>
              <w:rPr>
                <w:rFonts w:hint="eastAsia" w:ascii="仿宋" w:hAnsi="仿宋" w:eastAsia="仿宋" w:cs="仿宋"/>
                <w:color w:val="000000"/>
                <w:sz w:val="24"/>
                <w:lang w:eastAsia="zh-CN"/>
              </w:rPr>
              <w:t>），上述各项固废均不属于危险废物，均为一般固废，</w:t>
            </w:r>
            <w:r>
              <w:rPr>
                <w:rFonts w:hint="eastAsia" w:ascii="仿宋" w:hAnsi="仿宋" w:eastAsia="仿宋" w:cs="仿宋"/>
                <w:color w:val="000000"/>
                <w:lang w:val="en-US" w:eastAsia="zh-CN"/>
              </w:rPr>
              <w:t>离心渣装于密闭容器内，暂存于一般固废堆存场所，定期清运至环卫部门指定地点，由环卫部门统一处理；不合格品收集后，暂存于一般固废堆存场所，定期外外售，综合利用；废包装材料收集后，暂存于一般固废堆存场所，定期外售废品回收站；污泥定期由环卫部门清运，不在厂内堆存；生活垃圾，收集后由环卫部门统一清运。</w:t>
            </w:r>
          </w:p>
          <w:p>
            <w:pPr>
              <w:ind w:firstLine="210" w:firstLineChars="100"/>
              <w:rPr>
                <w:rFonts w:hint="eastAsia" w:ascii="仿宋" w:hAnsi="仿宋" w:eastAsia="仿宋" w:cs="仿宋"/>
                <w:color w:val="000000"/>
                <w:lang w:val="en-US" w:eastAsia="zh-CN"/>
              </w:rPr>
            </w:pPr>
            <w:r>
              <w:rPr>
                <w:rFonts w:hint="eastAsia" w:ascii="仿宋" w:hAnsi="仿宋" w:eastAsia="仿宋" w:cs="仿宋"/>
                <w:color w:val="000000"/>
                <w:lang w:val="en-US" w:eastAsia="zh-CN"/>
              </w:rPr>
              <w:t>（4）根据项目所在区域的环境质量现状监测结果，环境空气质量、地下水环境质量、噪声环境质量均可达标。</w:t>
            </w:r>
          </w:p>
          <w:p>
            <w:pPr>
              <w:spacing w:line="500" w:lineRule="exact"/>
              <w:ind w:right="-28"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，监测计划</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（1）废气有组织源监测</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①监测点位置：布袋除尘器排气筒预留采样孔、</w:t>
            </w:r>
            <w:r>
              <w:rPr>
                <w:rFonts w:hint="eastAsia" w:ascii="仿宋" w:hAnsi="仿宋" w:eastAsia="仿宋" w:cs="仿宋"/>
                <w:color w:val="000000"/>
                <w:sz w:val="24"/>
                <w:lang w:eastAsia="zh-CN"/>
              </w:rPr>
              <w:t>玻璃钢喷淋塔排气筒</w:t>
            </w:r>
            <w:r>
              <w:rPr>
                <w:rFonts w:hint="eastAsia" w:ascii="仿宋" w:hAnsi="仿宋" w:eastAsia="仿宋" w:cs="仿宋"/>
                <w:color w:val="000000"/>
                <w:sz w:val="24"/>
              </w:rPr>
              <w:t>预留采样孔、锅炉排气筒。</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②监测项目：布袋除尘器进出口监测颗粒物、废气量；</w:t>
            </w:r>
            <w:r>
              <w:rPr>
                <w:rFonts w:hint="eastAsia" w:ascii="仿宋" w:hAnsi="仿宋" w:eastAsia="仿宋" w:cs="仿宋"/>
                <w:color w:val="000000"/>
                <w:sz w:val="24"/>
                <w:lang w:eastAsia="zh-CN"/>
              </w:rPr>
              <w:t>玻璃钢喷淋塔排气筒</w:t>
            </w:r>
            <w:r>
              <w:rPr>
                <w:rFonts w:hint="eastAsia" w:ascii="仿宋" w:hAnsi="仿宋" w:eastAsia="仿宋" w:cs="仿宋"/>
                <w:color w:val="000000"/>
                <w:sz w:val="24"/>
              </w:rPr>
              <w:t>出口监测</w:t>
            </w:r>
            <w:r>
              <w:rPr>
                <w:rFonts w:hint="eastAsia" w:ascii="仿宋" w:hAnsi="仿宋" w:eastAsia="仿宋" w:cs="仿宋"/>
                <w:color w:val="000000"/>
                <w:sz w:val="24"/>
                <w:lang w:eastAsia="zh-CN"/>
              </w:rPr>
              <w:t>氨气排放浓度及</w:t>
            </w:r>
            <w:r>
              <w:rPr>
                <w:rFonts w:hint="eastAsia" w:ascii="仿宋" w:hAnsi="仿宋" w:eastAsia="仿宋" w:cs="仿宋"/>
                <w:color w:val="000000"/>
                <w:sz w:val="24"/>
              </w:rPr>
              <w:t>废气量；锅炉房排气筒出口监测SO</w:t>
            </w:r>
            <w:r>
              <w:rPr>
                <w:rFonts w:hint="eastAsia" w:ascii="仿宋" w:hAnsi="仿宋" w:eastAsia="仿宋" w:cs="仿宋"/>
                <w:color w:val="000000"/>
                <w:sz w:val="24"/>
                <w:vertAlign w:val="subscript"/>
              </w:rPr>
              <w:t>2</w:t>
            </w:r>
            <w:r>
              <w:rPr>
                <w:rFonts w:hint="eastAsia" w:ascii="仿宋" w:hAnsi="仿宋" w:eastAsia="仿宋" w:cs="仿宋"/>
                <w:color w:val="000000"/>
                <w:sz w:val="24"/>
              </w:rPr>
              <w:t>、NO</w:t>
            </w:r>
            <w:r>
              <w:rPr>
                <w:rFonts w:hint="eastAsia" w:ascii="仿宋" w:hAnsi="仿宋" w:eastAsia="仿宋" w:cs="仿宋"/>
                <w:color w:val="000000"/>
                <w:sz w:val="24"/>
                <w:vertAlign w:val="subscript"/>
              </w:rPr>
              <w:t>x</w:t>
            </w:r>
            <w:r>
              <w:rPr>
                <w:rFonts w:hint="eastAsia" w:ascii="仿宋" w:hAnsi="仿宋" w:eastAsia="仿宋" w:cs="仿宋"/>
                <w:color w:val="000000"/>
                <w:sz w:val="24"/>
              </w:rPr>
              <w:t>、颗粒物、烟气量。</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③监测频率：每半年监测一期，每期1天，每天监测1次。</w:t>
            </w:r>
          </w:p>
          <w:p>
            <w:pPr>
              <w:pStyle w:val="9"/>
              <w:rPr>
                <w:rFonts w:hint="eastAsia" w:ascii="仿宋" w:hAnsi="仿宋" w:eastAsia="仿宋" w:cs="仿宋"/>
                <w:color w:val="000000"/>
              </w:rPr>
            </w:pPr>
            <w:r>
              <w:rPr>
                <w:rFonts w:hint="eastAsia" w:ascii="仿宋" w:hAnsi="仿宋" w:eastAsia="仿宋" w:cs="仿宋"/>
                <w:color w:val="000000"/>
                <w:sz w:val="24"/>
              </w:rPr>
              <w:t>④监测方法：</w:t>
            </w:r>
            <w:r>
              <w:rPr>
                <w:rFonts w:hint="eastAsia" w:ascii="仿宋" w:hAnsi="仿宋" w:eastAsia="仿宋" w:cs="仿宋"/>
                <w:color w:val="000000"/>
                <w:sz w:val="24"/>
                <w:lang w:eastAsia="zh-CN"/>
              </w:rPr>
              <w:t>氨气及颗粒物参照</w:t>
            </w:r>
            <w:r>
              <w:rPr>
                <w:rFonts w:hint="eastAsia" w:ascii="仿宋" w:hAnsi="仿宋" w:eastAsia="仿宋" w:cs="仿宋"/>
                <w:color w:val="000000"/>
                <w:sz w:val="24"/>
              </w:rPr>
              <w:t>《橡胶制品工业污染物排放标准》（GB27632—2011）</w:t>
            </w:r>
            <w:r>
              <w:rPr>
                <w:rFonts w:hint="eastAsia" w:ascii="仿宋" w:hAnsi="仿宋" w:eastAsia="仿宋" w:cs="仿宋"/>
                <w:color w:val="000000"/>
                <w:sz w:val="24"/>
                <w:lang w:eastAsia="zh-CN"/>
              </w:rPr>
              <w:t>中规定的方法进行监测，</w:t>
            </w:r>
            <w:r>
              <w:rPr>
                <w:rFonts w:hint="eastAsia" w:ascii="仿宋" w:hAnsi="仿宋" w:eastAsia="仿宋" w:cs="仿宋"/>
                <w:color w:val="000000"/>
                <w:sz w:val="24"/>
              </w:rPr>
              <w:t>锅炉SO</w:t>
            </w:r>
            <w:r>
              <w:rPr>
                <w:rFonts w:hint="eastAsia" w:ascii="仿宋" w:hAnsi="仿宋" w:eastAsia="仿宋" w:cs="仿宋"/>
                <w:color w:val="000000"/>
                <w:sz w:val="24"/>
                <w:vertAlign w:val="subscript"/>
              </w:rPr>
              <w:t>2</w:t>
            </w:r>
            <w:r>
              <w:rPr>
                <w:rFonts w:hint="eastAsia" w:ascii="仿宋" w:hAnsi="仿宋" w:eastAsia="仿宋" w:cs="仿宋"/>
                <w:color w:val="000000"/>
                <w:sz w:val="24"/>
              </w:rPr>
              <w:t>、NO</w:t>
            </w:r>
            <w:r>
              <w:rPr>
                <w:rFonts w:hint="eastAsia" w:ascii="仿宋" w:hAnsi="仿宋" w:eastAsia="仿宋" w:cs="仿宋"/>
                <w:color w:val="000000"/>
                <w:sz w:val="24"/>
                <w:vertAlign w:val="subscript"/>
              </w:rPr>
              <w:t>x</w:t>
            </w:r>
            <w:r>
              <w:rPr>
                <w:rFonts w:hint="eastAsia" w:ascii="仿宋" w:hAnsi="仿宋" w:eastAsia="仿宋" w:cs="仿宋"/>
                <w:color w:val="000000"/>
                <w:sz w:val="24"/>
              </w:rPr>
              <w:t>、颗粒物参照《空气与废气监测分析方法》中规定的方法进行。</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rPr>
              <w:t>）噪声监测</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①监测点位置：在东、西、南、北厂界各布1个厂界噪声监测点，共计4个监测点。</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②监测项目：等效连续A声级。</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③监测频率：厂界噪声每</w:t>
            </w:r>
            <w:r>
              <w:rPr>
                <w:rFonts w:hint="eastAsia" w:ascii="仿宋" w:hAnsi="仿宋" w:eastAsia="仿宋" w:cs="仿宋"/>
                <w:color w:val="000000"/>
                <w:sz w:val="24"/>
                <w:lang w:eastAsia="zh-CN"/>
              </w:rPr>
              <w:t>季度</w:t>
            </w:r>
            <w:r>
              <w:rPr>
                <w:rFonts w:hint="eastAsia" w:ascii="仿宋" w:hAnsi="仿宋" w:eastAsia="仿宋" w:cs="仿宋"/>
                <w:color w:val="000000"/>
                <w:sz w:val="24"/>
              </w:rPr>
              <w:t>一次，每次1天，昼间和夜间各监测1次。</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④监测方法：按《工业企业厂界环境噪声排放标准》（GB12348-2008）中规定的方法进行。</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3</w:t>
            </w:r>
            <w:r>
              <w:rPr>
                <w:rFonts w:hint="eastAsia" w:ascii="仿宋" w:hAnsi="仿宋" w:eastAsia="仿宋" w:cs="仿宋"/>
                <w:color w:val="000000"/>
                <w:sz w:val="24"/>
              </w:rPr>
              <w:t>）</w:t>
            </w:r>
            <w:r>
              <w:rPr>
                <w:rFonts w:hint="eastAsia" w:ascii="仿宋" w:hAnsi="仿宋" w:eastAsia="仿宋" w:cs="仿宋"/>
                <w:color w:val="000000"/>
                <w:sz w:val="24"/>
                <w:lang w:eastAsia="zh-CN"/>
              </w:rPr>
              <w:t>废水</w:t>
            </w:r>
            <w:r>
              <w:rPr>
                <w:rFonts w:hint="eastAsia" w:ascii="仿宋" w:hAnsi="仿宋" w:eastAsia="仿宋" w:cs="仿宋"/>
                <w:color w:val="000000"/>
                <w:sz w:val="24"/>
              </w:rPr>
              <w:t>监测</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①监测点位置：在</w:t>
            </w:r>
            <w:r>
              <w:rPr>
                <w:rFonts w:hint="eastAsia" w:ascii="仿宋" w:hAnsi="仿宋" w:eastAsia="仿宋" w:cs="仿宋"/>
                <w:color w:val="000000"/>
                <w:sz w:val="24"/>
                <w:lang w:eastAsia="zh-CN"/>
              </w:rPr>
              <w:t>项目污水排放口设</w:t>
            </w:r>
            <w:r>
              <w:rPr>
                <w:rFonts w:hint="eastAsia" w:ascii="仿宋" w:hAnsi="仿宋" w:eastAsia="仿宋" w:cs="仿宋"/>
                <w:color w:val="000000"/>
                <w:sz w:val="24"/>
              </w:rPr>
              <w:t>1个</w:t>
            </w:r>
            <w:r>
              <w:rPr>
                <w:rFonts w:hint="eastAsia" w:ascii="仿宋" w:hAnsi="仿宋" w:eastAsia="仿宋" w:cs="仿宋"/>
                <w:color w:val="000000"/>
                <w:sz w:val="24"/>
                <w:lang w:eastAsia="zh-CN"/>
              </w:rPr>
              <w:t>废水</w:t>
            </w:r>
            <w:r>
              <w:rPr>
                <w:rFonts w:hint="eastAsia" w:ascii="仿宋" w:hAnsi="仿宋" w:eastAsia="仿宋" w:cs="仿宋"/>
                <w:color w:val="000000"/>
                <w:sz w:val="24"/>
              </w:rPr>
              <w:t>监测点。</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②监测项目：</w:t>
            </w:r>
            <w:r>
              <w:rPr>
                <w:rFonts w:hint="eastAsia" w:ascii="仿宋" w:hAnsi="仿宋" w:eastAsia="仿宋" w:cs="仿宋"/>
                <w:color w:val="000000"/>
                <w:sz w:val="24"/>
                <w:lang w:val="en-US" w:eastAsia="zh-CN"/>
              </w:rPr>
              <w:t>COD、BOD</w:t>
            </w:r>
            <w:r>
              <w:rPr>
                <w:rFonts w:hint="eastAsia" w:ascii="仿宋" w:hAnsi="仿宋" w:eastAsia="仿宋" w:cs="仿宋"/>
                <w:color w:val="000000"/>
                <w:sz w:val="24"/>
                <w:vertAlign w:val="subscript"/>
                <w:lang w:val="en-US" w:eastAsia="zh-CN"/>
              </w:rPr>
              <w:t>5</w:t>
            </w:r>
            <w:r>
              <w:rPr>
                <w:rFonts w:hint="eastAsia" w:ascii="仿宋" w:hAnsi="仿宋" w:eastAsia="仿宋" w:cs="仿宋"/>
                <w:color w:val="000000"/>
                <w:sz w:val="24"/>
                <w:lang w:val="en-US" w:eastAsia="zh-CN"/>
              </w:rPr>
              <w:t>、NH</w:t>
            </w:r>
            <w:r>
              <w:rPr>
                <w:rFonts w:hint="eastAsia" w:ascii="仿宋" w:hAnsi="仿宋" w:eastAsia="仿宋" w:cs="仿宋"/>
                <w:color w:val="000000"/>
                <w:sz w:val="24"/>
                <w:vertAlign w:val="subscript"/>
                <w:lang w:val="en-US" w:eastAsia="zh-CN"/>
              </w:rPr>
              <w:t>3</w:t>
            </w:r>
            <w:r>
              <w:rPr>
                <w:rFonts w:hint="eastAsia" w:ascii="仿宋" w:hAnsi="仿宋" w:eastAsia="仿宋" w:cs="仿宋"/>
                <w:color w:val="000000"/>
                <w:sz w:val="24"/>
                <w:lang w:val="en-US" w:eastAsia="zh-CN"/>
              </w:rPr>
              <w:t>-N、TN、TP、总锌</w:t>
            </w:r>
            <w:r>
              <w:rPr>
                <w:rFonts w:hint="eastAsia" w:ascii="仿宋" w:hAnsi="仿宋" w:eastAsia="仿宋" w:cs="仿宋"/>
                <w:color w:val="000000"/>
                <w:sz w:val="24"/>
              </w:rPr>
              <w:t>。</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③监测频率：每半年一次，每次1天。</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④监测方法：按《</w:t>
            </w:r>
            <w:r>
              <w:rPr>
                <w:rFonts w:hint="eastAsia" w:ascii="仿宋" w:hAnsi="仿宋" w:eastAsia="仿宋" w:cs="仿宋"/>
                <w:color w:val="000000"/>
                <w:sz w:val="24"/>
                <w:lang w:eastAsia="zh-CN"/>
              </w:rPr>
              <w:t>水</w:t>
            </w:r>
            <w:r>
              <w:rPr>
                <w:rFonts w:hint="eastAsia" w:ascii="仿宋" w:hAnsi="仿宋" w:eastAsia="仿宋" w:cs="仿宋"/>
                <w:color w:val="000000"/>
                <w:sz w:val="24"/>
              </w:rPr>
              <w:t>与废</w:t>
            </w:r>
            <w:r>
              <w:rPr>
                <w:rFonts w:hint="eastAsia" w:ascii="仿宋" w:hAnsi="仿宋" w:eastAsia="仿宋" w:cs="仿宋"/>
                <w:color w:val="000000"/>
                <w:sz w:val="24"/>
                <w:lang w:eastAsia="zh-CN"/>
              </w:rPr>
              <w:t>水</w:t>
            </w:r>
            <w:r>
              <w:rPr>
                <w:rFonts w:hint="eastAsia" w:ascii="仿宋" w:hAnsi="仿宋" w:eastAsia="仿宋" w:cs="仿宋"/>
                <w:color w:val="000000"/>
                <w:sz w:val="24"/>
              </w:rPr>
              <w:t>监测分析方法》（GB12348-2008）中规定的方法进行。</w:t>
            </w:r>
          </w:p>
          <w:p>
            <w:pPr>
              <w:spacing w:line="500" w:lineRule="exact"/>
              <w:ind w:right="-28" w:firstLine="480" w:firstLineChars="200"/>
              <w:rPr>
                <w:rFonts w:hint="eastAsia" w:ascii="仿宋" w:hAnsi="仿宋" w:eastAsia="仿宋" w:cs="仿宋"/>
                <w:color w:val="000000"/>
                <w:sz w:val="24"/>
              </w:rPr>
            </w:pPr>
            <w:r>
              <w:rPr>
                <w:rFonts w:hint="eastAsia" w:ascii="仿宋" w:hAnsi="仿宋" w:eastAsia="仿宋" w:cs="仿宋"/>
                <w:color w:val="000000"/>
                <w:sz w:val="24"/>
              </w:rPr>
              <w:t>根据建设单位的实际情况，上述监测工作建议由</w:t>
            </w:r>
            <w:r>
              <w:rPr>
                <w:rFonts w:hint="eastAsia" w:ascii="仿宋" w:hAnsi="仿宋" w:eastAsia="仿宋" w:cs="仿宋"/>
                <w:color w:val="000000"/>
                <w:sz w:val="24"/>
                <w:lang w:eastAsia="zh-CN"/>
              </w:rPr>
              <w:t>有资质的检测单位</w:t>
            </w:r>
            <w:r>
              <w:rPr>
                <w:rFonts w:hint="eastAsia" w:ascii="仿宋" w:hAnsi="仿宋" w:eastAsia="仿宋" w:cs="仿宋"/>
                <w:color w:val="000000"/>
                <w:sz w:val="24"/>
              </w:rPr>
              <w:t>来实施。为确保监测计划顺利完成，双方应签订环境监测服务合同。</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）环境空气监测</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a.监测点位置：</w:t>
            </w:r>
            <w:r>
              <w:rPr>
                <w:rFonts w:hint="eastAsia" w:ascii="仿宋" w:hAnsi="仿宋" w:eastAsia="仿宋" w:cs="仿宋"/>
                <w:color w:val="000000"/>
                <w:sz w:val="24"/>
                <w:lang w:eastAsia="zh-CN"/>
              </w:rPr>
              <w:t>项目东北侧</w:t>
            </w:r>
            <w:r>
              <w:rPr>
                <w:rFonts w:hint="eastAsia" w:ascii="仿宋" w:hAnsi="仿宋" w:eastAsia="仿宋" w:cs="仿宋"/>
                <w:color w:val="000000"/>
                <w:sz w:val="24"/>
              </w:rPr>
              <w:t>。</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b.监测项目：</w:t>
            </w:r>
            <w:r>
              <w:rPr>
                <w:rFonts w:hint="eastAsia" w:ascii="仿宋" w:hAnsi="仿宋" w:eastAsia="仿宋" w:cs="仿宋"/>
                <w:color w:val="000000"/>
                <w:sz w:val="24"/>
                <w:szCs w:val="24"/>
              </w:rPr>
              <w:t>SO</w:t>
            </w:r>
            <w:r>
              <w:rPr>
                <w:rFonts w:hint="eastAsia" w:ascii="仿宋" w:hAnsi="仿宋" w:eastAsia="仿宋" w:cs="仿宋"/>
                <w:color w:val="000000"/>
                <w:sz w:val="24"/>
                <w:szCs w:val="24"/>
                <w:vertAlign w:val="subscript"/>
              </w:rPr>
              <w:t>2</w:t>
            </w:r>
            <w:r>
              <w:rPr>
                <w:rFonts w:hint="eastAsia" w:ascii="仿宋" w:hAnsi="仿宋" w:eastAsia="仿宋" w:cs="仿宋"/>
                <w:color w:val="000000"/>
                <w:sz w:val="24"/>
                <w:szCs w:val="24"/>
              </w:rPr>
              <w:t>、NO</w:t>
            </w:r>
            <w:r>
              <w:rPr>
                <w:rFonts w:hint="eastAsia" w:ascii="仿宋" w:hAnsi="仿宋" w:eastAsia="仿宋" w:cs="仿宋"/>
                <w:color w:val="000000"/>
                <w:sz w:val="24"/>
                <w:szCs w:val="24"/>
                <w:vertAlign w:val="subscript"/>
              </w:rPr>
              <w:t>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PM</w:t>
            </w:r>
            <w:r>
              <w:rPr>
                <w:rFonts w:hint="eastAsia" w:ascii="仿宋" w:hAnsi="仿宋" w:eastAsia="仿宋" w:cs="仿宋"/>
                <w:color w:val="000000"/>
                <w:sz w:val="24"/>
                <w:szCs w:val="24"/>
                <w:vertAlign w:val="subscript"/>
                <w:lang w:val="en-US" w:eastAsia="zh-CN"/>
              </w:rPr>
              <w:t>10</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臭气浓度、</w:t>
            </w:r>
            <w:r>
              <w:rPr>
                <w:rFonts w:hint="eastAsia" w:ascii="仿宋" w:hAnsi="仿宋" w:eastAsia="仿宋" w:cs="仿宋"/>
                <w:color w:val="000000"/>
                <w:sz w:val="24"/>
                <w:szCs w:val="24"/>
                <w:highlight w:val="none"/>
                <w:lang w:val="en-US" w:eastAsia="zh-CN"/>
              </w:rPr>
              <w:t>NH</w:t>
            </w:r>
            <w:r>
              <w:rPr>
                <w:rFonts w:hint="eastAsia" w:ascii="仿宋" w:hAnsi="仿宋" w:eastAsia="仿宋" w:cs="仿宋"/>
                <w:color w:val="000000"/>
                <w:sz w:val="24"/>
                <w:szCs w:val="24"/>
                <w:highlight w:val="none"/>
                <w:vertAlign w:val="subscript"/>
                <w:lang w:val="en-US" w:eastAsia="zh-CN"/>
              </w:rPr>
              <w:t>3</w:t>
            </w:r>
            <w:r>
              <w:rPr>
                <w:rFonts w:hint="eastAsia" w:ascii="仿宋" w:hAnsi="仿宋" w:eastAsia="仿宋" w:cs="仿宋"/>
                <w:color w:val="000000"/>
                <w:sz w:val="24"/>
              </w:rPr>
              <w:t>。</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c.监测频次：每半年监测一期，每期1天，每天监测1次。</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d.监测方法：《环境空气质量标准》（GB3095-2012）、《空气与废气监测分析方法》中规定的方法进行。</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根据建设单位的实际情况，上述监测工作建议由</w:t>
            </w:r>
            <w:r>
              <w:rPr>
                <w:rFonts w:hint="eastAsia" w:ascii="仿宋" w:hAnsi="仿宋" w:eastAsia="仿宋" w:cs="仿宋"/>
                <w:color w:val="000000"/>
                <w:lang w:eastAsia="zh-CN"/>
              </w:rPr>
              <w:t>有资质的检测单位</w:t>
            </w:r>
            <w:r>
              <w:rPr>
                <w:rFonts w:hint="eastAsia" w:ascii="仿宋" w:hAnsi="仿宋" w:eastAsia="仿宋" w:cs="仿宋"/>
                <w:color w:val="000000"/>
                <w:sz w:val="24"/>
              </w:rPr>
              <w:t>来实施。</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rPr>
              <w:t>）地下水环境监测</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a.监测点位置：厂区上游50m处、下游50m处各设一眼监测井。</w:t>
            </w:r>
          </w:p>
          <w:p>
            <w:pPr>
              <w:rPr>
                <w:rFonts w:hint="eastAsia" w:ascii="仿宋" w:hAnsi="仿宋" w:eastAsia="仿宋" w:cs="仿宋"/>
                <w:color w:val="000000"/>
              </w:rPr>
            </w:pPr>
            <w:r>
              <w:rPr>
                <w:rFonts w:hint="eastAsia" w:ascii="仿宋" w:hAnsi="仿宋" w:eastAsia="仿宋" w:cs="仿宋"/>
                <w:color w:val="000000"/>
              </w:rPr>
              <w:t>b.监测项目：pH、总硬度、溶解性总固体、</w:t>
            </w:r>
            <w:r>
              <w:rPr>
                <w:rFonts w:hint="eastAsia" w:ascii="仿宋" w:hAnsi="仿宋" w:eastAsia="仿宋" w:cs="仿宋"/>
                <w:color w:val="000000"/>
                <w:lang w:eastAsia="zh-CN"/>
              </w:rPr>
              <w:t>耗氧量</w:t>
            </w:r>
            <w:r>
              <w:rPr>
                <w:rFonts w:hint="eastAsia" w:ascii="仿宋" w:hAnsi="仿宋" w:eastAsia="仿宋" w:cs="仿宋"/>
                <w:color w:val="000000"/>
              </w:rPr>
              <w:t>、硝酸盐氮、亚硝酸盐氮、氨氮、挥发性酚</w:t>
            </w:r>
            <w:r>
              <w:rPr>
                <w:rFonts w:hint="eastAsia" w:ascii="仿宋" w:hAnsi="仿宋" w:eastAsia="仿宋" w:cs="仿宋"/>
                <w:color w:val="000000"/>
                <w:lang w:eastAsia="zh-CN"/>
              </w:rPr>
              <w:t>、锌</w:t>
            </w:r>
            <w:r>
              <w:rPr>
                <w:rFonts w:hint="eastAsia" w:ascii="仿宋" w:hAnsi="仿宋" w:eastAsia="仿宋" w:cs="仿宋"/>
                <w:color w:val="000000"/>
              </w:rPr>
              <w:t>。</w:t>
            </w:r>
          </w:p>
          <w:p>
            <w:pPr>
              <w:rPr>
                <w:rFonts w:hint="eastAsia" w:ascii="仿宋" w:hAnsi="仿宋" w:eastAsia="仿宋" w:cs="仿宋"/>
                <w:color w:val="000000"/>
              </w:rPr>
            </w:pPr>
            <w:r>
              <w:rPr>
                <w:rFonts w:hint="eastAsia" w:ascii="仿宋" w:hAnsi="仿宋" w:eastAsia="仿宋" w:cs="仿宋"/>
                <w:color w:val="000000"/>
              </w:rPr>
              <w:t>c.监测频次：每半年监测一期，每期监测1次。</w:t>
            </w:r>
          </w:p>
          <w:p>
            <w:pPr>
              <w:pStyle w:val="2"/>
              <w:rPr>
                <w:rFonts w:hint="eastAsia" w:ascii="仿宋" w:hAnsi="仿宋" w:eastAsia="仿宋" w:cs="仿宋"/>
              </w:rPr>
            </w:pPr>
            <w:r>
              <w:rPr>
                <w:rFonts w:hint="eastAsia" w:ascii="仿宋" w:hAnsi="仿宋" w:eastAsia="仿宋" w:cs="仿宋"/>
                <w:color w:val="000000"/>
              </w:rPr>
              <w:t>d.监测方法：《地下水质量标准》（GB/T14848-</w:t>
            </w:r>
            <w:r>
              <w:rPr>
                <w:rFonts w:hint="eastAsia" w:ascii="仿宋" w:hAnsi="仿宋" w:eastAsia="仿宋" w:cs="仿宋"/>
                <w:color w:val="000000"/>
                <w:lang w:val="en-US" w:eastAsia="zh-CN"/>
              </w:rPr>
              <w:t>2017</w:t>
            </w:r>
            <w:r>
              <w:rPr>
                <w:rFonts w:hint="eastAsia" w:ascii="仿宋" w:hAnsi="仿宋" w:eastAsia="仿宋" w:cs="仿宋"/>
                <w:color w:val="000000"/>
              </w:rPr>
              <w:t>）、《地下水环境监测技术规范》（HJ/T164-2004）及《环境影响评价技术导则 地下水环境》（HJ610-2016）中规定的方法。</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pStyle w:val="2"/>
              <w:rPr>
                <w:rFonts w:hint="eastAsia" w:ascii="仿宋" w:hAnsi="仿宋" w:eastAsia="仿宋" w:cs="仿宋"/>
                <w:i w:val="0"/>
                <w:iCs w:val="0"/>
                <w:color w:val="000000"/>
                <w:kern w:val="0"/>
                <w:sz w:val="22"/>
                <w:szCs w:val="22"/>
                <w:u w:val="none"/>
                <w:lang w:val="en-US" w:eastAsia="zh-CN" w:bidi="ar"/>
              </w:rPr>
            </w:pPr>
          </w:p>
          <w:p>
            <w:pPr>
              <w:pStyle w:val="2"/>
              <w:rPr>
                <w:rFonts w:hint="eastAsia" w:ascii="仿宋" w:hAnsi="仿宋" w:eastAsia="仿宋" w:cs="仿宋"/>
                <w:i w:val="0"/>
                <w:iCs w:val="0"/>
                <w:color w:val="000000"/>
                <w:kern w:val="0"/>
                <w:sz w:val="22"/>
                <w:szCs w:val="22"/>
                <w:u w:val="none"/>
                <w:lang w:val="en-US" w:eastAsia="zh-CN" w:bidi="ar"/>
              </w:rPr>
            </w:pPr>
          </w:p>
          <w:p>
            <w:pPr>
              <w:pStyle w:val="2"/>
              <w:rPr>
                <w:rFonts w:hint="eastAsia" w:ascii="仿宋" w:hAnsi="仿宋" w:eastAsia="仿宋" w:cs="仿宋"/>
                <w:i w:val="0"/>
                <w:iCs w:val="0"/>
                <w:color w:val="000000"/>
                <w:kern w:val="0"/>
                <w:sz w:val="22"/>
                <w:szCs w:val="22"/>
                <w:u w:val="none"/>
                <w:lang w:val="en-US" w:eastAsia="zh-CN" w:bidi="ar"/>
              </w:rPr>
            </w:pPr>
          </w:p>
          <w:p>
            <w:pPr>
              <w:pStyle w:val="2"/>
              <w:rPr>
                <w:rFonts w:hint="eastAsia" w:ascii="仿宋" w:hAnsi="仿宋" w:eastAsia="仿宋" w:cs="仿宋"/>
                <w:i w:val="0"/>
                <w:iCs w:val="0"/>
                <w:color w:val="000000"/>
                <w:kern w:val="0"/>
                <w:sz w:val="22"/>
                <w:szCs w:val="22"/>
                <w:u w:val="none"/>
                <w:lang w:val="en-US" w:eastAsia="zh-CN" w:bidi="ar"/>
              </w:rPr>
            </w:pPr>
          </w:p>
          <w:p>
            <w:pPr>
              <w:pStyle w:val="2"/>
              <w:rPr>
                <w:rFonts w:hint="eastAsia" w:ascii="仿宋" w:hAnsi="仿宋" w:eastAsia="仿宋" w:cs="仿宋"/>
                <w:i w:val="0"/>
                <w:iCs w:val="0"/>
                <w:color w:val="000000"/>
                <w:kern w:val="0"/>
                <w:sz w:val="22"/>
                <w:szCs w:val="22"/>
                <w:u w:val="none"/>
                <w:lang w:val="en-US" w:eastAsia="zh-CN" w:bidi="ar"/>
              </w:rPr>
            </w:pPr>
          </w:p>
          <w:p>
            <w:pPr>
              <w:pStyle w:val="2"/>
              <w:rPr>
                <w:rFonts w:hint="eastAsia" w:ascii="仿宋" w:hAnsi="仿宋" w:eastAsia="仿宋" w:cs="仿宋"/>
                <w:i w:val="0"/>
                <w:iCs w:val="0"/>
                <w:color w:val="000000"/>
                <w:kern w:val="0"/>
                <w:sz w:val="22"/>
                <w:szCs w:val="22"/>
                <w:u w:val="none"/>
                <w:lang w:val="en-US" w:eastAsia="zh-CN" w:bidi="ar"/>
              </w:rPr>
            </w:pPr>
          </w:p>
          <w:tbl>
            <w:tblPr>
              <w:tblStyle w:val="27"/>
              <w:tblW w:w="9366"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933"/>
              <w:gridCol w:w="286"/>
              <w:gridCol w:w="704"/>
              <w:gridCol w:w="2940"/>
              <w:gridCol w:w="1725"/>
              <w:gridCol w:w="806"/>
              <w:gridCol w:w="240"/>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6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36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委托单位</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保定市生态环境局白沟新城分局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受检单位</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中拓河北乳胶科技发展有限公司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受检地点</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河北省保定市白沟镇五一路北侧工业城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中拓河北乳胶科技发展有限公司废水执法检测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采样日期</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2021年4月7日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分析日期</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采样人员</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许建金，李佩伦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检测人员</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吴海燕，冉雪菲，陈莹，王珊珊，吕浩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检测内容</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数据中，检出限+L表示检测结果低于方法检出限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1219" w:type="dxa"/>
                  <w:gridSpan w:val="2"/>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8142" w:type="dxa"/>
                  <w:gridSpan w:val="6"/>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1219" w:type="dxa"/>
                  <w:gridSpan w:val="2"/>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8142" w:type="dxa"/>
                  <w:gridSpan w:val="6"/>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1219" w:type="dxa"/>
                  <w:gridSpan w:val="2"/>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8142" w:type="dxa"/>
                  <w:gridSpan w:val="6"/>
                  <w:tcBorders>
                    <w:top w:val="nil"/>
                    <w:left w:val="nil"/>
                    <w:bottom w:val="nil"/>
                    <w:right w:val="nil"/>
                  </w:tcBorders>
                  <w:shd w:val="clear" w:color="auto" w:fill="auto"/>
                  <w:noWrap/>
                  <w:vAlign w:val="center"/>
                </w:tcPr>
                <w:p>
                  <w:pPr>
                    <w:keepNext w:val="0"/>
                    <w:keepLines w:val="0"/>
                    <w:widowControl/>
                    <w:suppressLineNumbers w:val="0"/>
                    <w:ind w:firstLine="4410" w:firstLineChars="2100"/>
                    <w:jc w:val="both"/>
                    <w:textAlignment w:val="center"/>
                    <w:rPr>
                      <w:rFonts w:hint="eastAsia" w:ascii="仿宋" w:hAnsi="仿宋" w:eastAsia="仿宋" w:cs="仿宋"/>
                      <w:lang w:val="en-US" w:eastAsia="zh-CN"/>
                    </w:rPr>
                  </w:pPr>
                  <w:r>
                    <w:rPr>
                      <w:rFonts w:hint="eastAsia" w:ascii="仿宋" w:hAnsi="仿宋" w:eastAsia="仿宋" w:cs="仿宋"/>
                      <w:lang w:val="en-US" w:eastAsia="zh-CN"/>
                    </w:rPr>
                    <w:t>签发日期：2021年5月10日</w:t>
                  </w:r>
                </w:p>
                <w:p>
                  <w:pPr>
                    <w:pStyle w:val="2"/>
                    <w:rPr>
                      <w:rFonts w:hint="eastAsia" w:ascii="仿宋" w:hAnsi="仿宋" w:eastAsia="仿宋" w:cs="仿宋"/>
                      <w:i w:val="0"/>
                      <w:iCs w:val="0"/>
                      <w:color w:val="000000"/>
                      <w:kern w:val="0"/>
                      <w:sz w:val="22"/>
                      <w:szCs w:val="22"/>
                      <w:u w:val="none"/>
                      <w:lang w:val="en-US" w:eastAsia="zh-CN" w:bidi="ar"/>
                    </w:rPr>
                  </w:pPr>
                </w:p>
                <w:p>
                  <w:pPr>
                    <w:pStyle w:val="2"/>
                    <w:rPr>
                      <w:rFonts w:hint="eastAsia" w:ascii="仿宋" w:hAnsi="仿宋" w:eastAsia="仿宋" w:cs="仿宋"/>
                      <w:i w:val="0"/>
                      <w:iCs w:val="0"/>
                      <w:color w:val="000000"/>
                      <w:kern w:val="0"/>
                      <w:sz w:val="22"/>
                      <w:szCs w:val="22"/>
                      <w:u w:val="none"/>
                      <w:lang w:val="en-US" w:eastAsia="zh-CN" w:bidi="ar"/>
                    </w:rPr>
                  </w:pPr>
                </w:p>
                <w:p>
                  <w:pPr>
                    <w:pStyle w:val="2"/>
                    <w:rPr>
                      <w:rFonts w:hint="eastAsia" w:ascii="仿宋" w:hAnsi="仿宋" w:eastAsia="仿宋" w:cs="仿宋"/>
                      <w:i w:val="0"/>
                      <w:iCs w:val="0"/>
                      <w:color w:val="000000"/>
                      <w:kern w:val="0"/>
                      <w:sz w:val="22"/>
                      <w:szCs w:val="22"/>
                      <w:u w:val="none"/>
                      <w:lang w:val="en-US" w:eastAsia="zh-CN" w:bidi="ar"/>
                    </w:rPr>
                  </w:pPr>
                </w:p>
                <w:p>
                  <w:pPr>
                    <w:pStyle w:val="2"/>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1727" w:type="dxa"/>
                <w:trHeight w:val="491" w:hRule="atLeast"/>
              </w:trPr>
              <w:tc>
                <w:tcPr>
                  <w:tcW w:w="9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检测类别</w:t>
                  </w:r>
                </w:p>
              </w:tc>
              <w:tc>
                <w:tcPr>
                  <w:tcW w:w="990"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检测项目</w:t>
                  </w:r>
                </w:p>
              </w:tc>
              <w:tc>
                <w:tcPr>
                  <w:tcW w:w="294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检测方法</w:t>
                  </w:r>
                </w:p>
              </w:tc>
              <w:tc>
                <w:tcPr>
                  <w:tcW w:w="17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仪器名称及编号</w:t>
                  </w:r>
                </w:p>
              </w:tc>
              <w:tc>
                <w:tcPr>
                  <w:tcW w:w="80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检出限/最低检测浓度</w:t>
                  </w:r>
                </w:p>
              </w:tc>
              <w:tc>
                <w:tcPr>
                  <w:tcW w:w="240" w:type="dxa"/>
                  <w:tcBorders>
                    <w:top w:val="nil"/>
                    <w:left w:val="nil"/>
                    <w:bottom w:val="nil"/>
                    <w:right w:val="nil"/>
                  </w:tcBorders>
                  <w:shd w:val="clear" w:color="auto" w:fill="auto"/>
                  <w:noWrap/>
                  <w:vAlign w:val="center"/>
                </w:tcPr>
                <w:p>
                  <w:pPr>
                    <w:ind w:right="-1235" w:rightChars="-588"/>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1727" w:type="dxa"/>
                <w:trHeight w:val="983" w:hRule="atLeast"/>
              </w:trPr>
              <w:tc>
                <w:tcPr>
                  <w:tcW w:w="93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w:t>
                  </w: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总磷</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 总磷的测定 钼酸铵分光光度法】GB/T11893-1989</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TU-1810APC LQYS-011紫外可见分光光度计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 xml:space="preserve">0.01mg/L       </w:t>
                  </w:r>
                </w:p>
              </w:tc>
              <w:tc>
                <w:tcPr>
                  <w:tcW w:w="24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1727" w:type="dxa"/>
                <w:trHeight w:val="1141"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总氮</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 总氮的测定 碱性过硫酸钾消解紫外分光光度法】HJ636-2012</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TU-1950LQYS-010双光束紫外可见分光光度计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0.05mg/L</w:t>
                  </w:r>
                </w:p>
              </w:tc>
              <w:tc>
                <w:tcPr>
                  <w:tcW w:w="24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1727" w:type="dxa"/>
                <w:trHeight w:val="1189"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总氰化物</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 氰化物的测定 容量法和分光光度法】HJ484-2009</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TU-1810APC LQYS-011紫外可见分光光度计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0.004mg/L</w:t>
                  </w:r>
                </w:p>
              </w:tc>
              <w:tc>
                <w:tcPr>
                  <w:tcW w:w="24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1118"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磷酸盐</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【水和废水监测分析方法】钼锑抗分光光度法（第四版增补版）3.3.7.3（A）</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TU-1810APC LQYS-011紫外可见分光光度计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0.01mg/L</w:t>
                  </w:r>
                </w:p>
              </w:tc>
              <w:tc>
                <w:tcPr>
                  <w:tcW w:w="24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90"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总铜</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 铜，锌，铅，镉的测定原子吸收分光光度法】GB/T7475-1987</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A3AFG-12LQYS-028-1原子吸收分光光度计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0.05mg/L</w:t>
                  </w:r>
                </w:p>
              </w:tc>
              <w:tc>
                <w:tcPr>
                  <w:tcW w:w="24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935"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总镍</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 镍的测定 火焰原子吸收分光光度法】GB/T11912-1989</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A3AFG-12LQYS-028-1原子吸收分光光度计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0.05mg/L</w:t>
                  </w:r>
                </w:p>
              </w:tc>
              <w:tc>
                <w:tcPr>
                  <w:tcW w:w="24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r>
          </w:tbl>
          <w:p>
            <w:pPr>
              <w:pStyle w:val="4"/>
              <w:pageBreakBefore w:val="0"/>
              <w:widowControl w:val="0"/>
              <w:kinsoku/>
              <w:wordWrap/>
              <w:overflowPunct/>
              <w:topLinePunct w:val="0"/>
              <w:autoSpaceDE/>
              <w:autoSpaceDN/>
              <w:bidi w:val="0"/>
              <w:adjustRightInd/>
              <w:snapToGrid/>
              <w:spacing w:line="4800" w:lineRule="auto"/>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1" w:hRule="atLeast"/>
          <w:jc w:val="center"/>
        </w:trPr>
        <w:tc>
          <w:tcPr>
            <w:tcW w:w="2035" w:type="dxa"/>
            <w:vAlign w:val="center"/>
          </w:tcPr>
          <w:p>
            <w:pPr>
              <w:spacing w:line="560" w:lineRule="exact"/>
              <w:jc w:val="center"/>
              <w:rPr>
                <w:rFonts w:hint="eastAsia" w:eastAsia="仿宋_GB2312" w:cs="仿宋_GB2312"/>
                <w:b/>
                <w:bCs/>
                <w:sz w:val="28"/>
                <w:szCs w:val="28"/>
              </w:rPr>
            </w:pPr>
          </w:p>
        </w:tc>
        <w:tc>
          <w:tcPr>
            <w:tcW w:w="12504" w:type="dxa"/>
            <w:vAlign w:val="center"/>
          </w:tcPr>
          <w:tbl>
            <w:tblPr>
              <w:tblStyle w:val="27"/>
              <w:tblW w:w="6043"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343"/>
              <w:gridCol w:w="1185"/>
              <w:gridCol w:w="1200"/>
              <w:gridCol w:w="1212"/>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4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四.废水检测结果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采样时间</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检测项目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采样点位</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废水总排口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2021.4.7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总磷</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结果</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总氮</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总氰化物</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磷酸盐</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总铜</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总镍</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098" w:type="dxa"/>
                <w:trHeight w:val="270" w:hRule="atLeast"/>
              </w:trPr>
              <w:tc>
                <w:tcPr>
                  <w:tcW w:w="1343"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1185"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2412"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报告结束</w:t>
                  </w:r>
                </w:p>
              </w:tc>
            </w:tr>
          </w:tbl>
          <w:p>
            <w:pPr>
              <w:pStyle w:val="4"/>
              <w:pageBreakBefore w:val="0"/>
              <w:widowControl w:val="0"/>
              <w:kinsoku/>
              <w:wordWrap/>
              <w:overflowPunct/>
              <w:topLinePunct w:val="0"/>
              <w:autoSpaceDE/>
              <w:autoSpaceDN/>
              <w:bidi w:val="0"/>
              <w:adjustRightInd/>
              <w:snapToGrid/>
              <w:spacing w:line="4800" w:lineRule="auto"/>
              <w:textAlignment w:val="auto"/>
              <w:rPr>
                <w:rFonts w:hint="eastAsia" w:ascii="仿宋" w:hAnsi="仿宋" w:eastAsia="仿宋" w:cs="仿宋"/>
                <w:sz w:val="30"/>
                <w:szCs w:val="30"/>
              </w:rPr>
            </w:pPr>
          </w:p>
        </w:tc>
      </w:tr>
    </w:tbl>
    <w:p>
      <w:pPr>
        <w:spacing w:line="560" w:lineRule="exact"/>
      </w:pPr>
      <w:r>
        <w:rPr>
          <w:rFonts w:hint="eastAsia" w:eastAsia="黑体"/>
          <w:sz w:val="32"/>
          <w:szCs w:val="32"/>
        </w:rPr>
        <w:t>七、对职工进行的环境保护培训状况</w:t>
      </w:r>
    </w:p>
    <w:p>
      <w:pPr>
        <w:widowControl/>
        <w:jc w:val="left"/>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jc w:val="center"/>
        </w:trPr>
        <w:tc>
          <w:tcPr>
            <w:tcW w:w="1330"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0"/>
            <w:vAlign w:val="center"/>
          </w:tcPr>
          <w:p>
            <w:pPr>
              <w:spacing w:line="560" w:lineRule="exact"/>
              <w:jc w:val="center"/>
              <w:rPr>
                <w:rFonts w:hint="eastAsia" w:eastAsia="仿宋_GB2312"/>
                <w:sz w:val="28"/>
                <w:szCs w:val="28"/>
                <w:lang w:eastAsia="zh-CN"/>
              </w:rPr>
            </w:pPr>
            <w:r>
              <w:rPr>
                <w:rFonts w:hint="eastAsia" w:eastAsia="仿宋_GB2312"/>
                <w:sz w:val="28"/>
                <w:szCs w:val="28"/>
                <w:lang w:eastAsia="zh-CN"/>
              </w:rPr>
              <w:t>每月给职工进行一次环境保护知识教育培训。</w:t>
            </w:r>
          </w:p>
          <w:p>
            <w:pPr>
              <w:spacing w:line="560" w:lineRule="exact"/>
              <w:jc w:val="center"/>
              <w:rPr>
                <w:rFonts w:hint="eastAsia" w:eastAsia="仿宋_GB2312"/>
                <w:sz w:val="28"/>
                <w:szCs w:val="28"/>
                <w:lang w:eastAsia="zh-CN"/>
              </w:rPr>
            </w:pPr>
          </w:p>
        </w:tc>
      </w:tr>
    </w:tbl>
    <w:p>
      <w:pPr>
        <w:numPr>
          <w:ilvl w:val="0"/>
          <w:numId w:val="1"/>
        </w:numPr>
        <w:spacing w:line="560" w:lineRule="exact"/>
        <w:rPr>
          <w:rFonts w:hint="eastAsia" w:eastAsia="黑体"/>
          <w:sz w:val="32"/>
          <w:szCs w:val="32"/>
        </w:rPr>
      </w:pPr>
      <w:r>
        <w:rPr>
          <w:rFonts w:hint="eastAsia" w:eastAsia="黑体"/>
          <w:sz w:val="32"/>
          <w:szCs w:val="32"/>
        </w:rPr>
        <w:t>其他应当公开的环境信息</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jc w:val="center"/>
        </w:trPr>
        <w:tc>
          <w:tcPr>
            <w:tcW w:w="1234" w:type="dxa"/>
            <w:noWrap w:val="0"/>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noWrap w:val="0"/>
            <w:vAlign w:val="center"/>
          </w:tcPr>
          <w:p>
            <w:pPr>
              <w:spacing w:line="560" w:lineRule="exact"/>
              <w:jc w:val="center"/>
              <w:rPr>
                <w:rFonts w:eastAsia="仿宋_GB2312"/>
                <w:sz w:val="28"/>
                <w:szCs w:val="28"/>
              </w:rPr>
            </w:pPr>
          </w:p>
          <w:p>
            <w:pPr>
              <w:spacing w:line="560" w:lineRule="exact"/>
              <w:jc w:val="center"/>
              <w:rPr>
                <w:rFonts w:hint="eastAsia" w:eastAsia="仿宋_GB2312"/>
                <w:b/>
                <w:sz w:val="28"/>
                <w:szCs w:val="28"/>
              </w:rPr>
            </w:pPr>
          </w:p>
          <w:p>
            <w:pPr>
              <w:spacing w:line="560" w:lineRule="exact"/>
              <w:jc w:val="center"/>
              <w:rPr>
                <w:rFonts w:hint="eastAsia" w:eastAsia="仿宋_GB2312"/>
                <w:b/>
                <w:sz w:val="28"/>
                <w:szCs w:val="28"/>
                <w:lang w:eastAsia="zh-CN"/>
              </w:rPr>
            </w:pPr>
            <w:r>
              <w:rPr>
                <w:rFonts w:hint="eastAsia" w:eastAsia="仿宋_GB2312"/>
                <w:b/>
                <w:sz w:val="28"/>
                <w:szCs w:val="28"/>
                <w:lang w:eastAsia="zh-CN"/>
              </w:rPr>
              <w:t>无</w:t>
            </w:r>
          </w:p>
          <w:p>
            <w:pPr>
              <w:spacing w:line="560" w:lineRule="exact"/>
              <w:jc w:val="center"/>
              <w:rPr>
                <w:rFonts w:hint="eastAsia" w:eastAsia="仿宋_GB2312"/>
                <w:b/>
                <w:sz w:val="28"/>
                <w:szCs w:val="28"/>
              </w:rPr>
            </w:pPr>
          </w:p>
          <w:p>
            <w:pPr>
              <w:spacing w:line="560" w:lineRule="exact"/>
              <w:jc w:val="center"/>
              <w:rPr>
                <w:rFonts w:hint="eastAsia" w:eastAsia="仿宋_GB2312"/>
                <w:sz w:val="28"/>
                <w:szCs w:val="28"/>
                <w:lang w:eastAsia="zh-CN"/>
              </w:rPr>
            </w:pPr>
          </w:p>
        </w:tc>
      </w:tr>
    </w:tbl>
    <w:p>
      <w:pPr>
        <w:widowControl/>
        <w:jc w:val="left"/>
        <w:rPr>
          <w:rFonts w:hint="eastAsia" w:cs="Times New Roman"/>
        </w:rPr>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hint="eastAsia" w:eastAsia="仿宋_GB2312"/>
          <w:sz w:val="32"/>
          <w:szCs w:val="32"/>
        </w:rPr>
      </w:pPr>
      <w:r>
        <w:rPr>
          <w:rFonts w:hint="eastAsia" w:eastAsia="仿宋_GB2312"/>
          <w:sz w:val="32"/>
          <w:szCs w:val="32"/>
        </w:rPr>
        <w:t>填表说明：</w:t>
      </w:r>
    </w:p>
    <w:p>
      <w:pPr>
        <w:numPr>
          <w:ilvl w:val="0"/>
          <w:numId w:val="2"/>
        </w:numPr>
        <w:spacing w:line="560" w:lineRule="exact"/>
        <w:jc w:val="left"/>
        <w:rPr>
          <w:rFonts w:hint="eastAsia"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2"/>
        </w:numPr>
        <w:spacing w:line="560" w:lineRule="exact"/>
        <w:jc w:val="left"/>
        <w:rPr>
          <w:rFonts w:hint="eastAsia"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2"/>
        </w:numPr>
        <w:spacing w:line="560" w:lineRule="exact"/>
        <w:jc w:val="left"/>
        <w:rPr>
          <w:rFonts w:hint="eastAsia"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pPr>
        <w:rPr>
          <w:rFonts w:hint="eastAsia" w:cs="Times New Roma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cs="Times New Roman"/>
      </w:rPr>
    </w:pPr>
    <w:r>
      <w:fldChar w:fldCharType="begin"/>
    </w:r>
    <w:r>
      <w:instrText xml:space="preserve">PAGE   \* MERGEFORMAT</w:instrText>
    </w:r>
    <w:r>
      <w:fldChar w:fldCharType="separate"/>
    </w:r>
    <w:r>
      <w:rPr>
        <w:rFonts w:hint="eastAsia"/>
      </w:rPr>
      <w:t>68</w:t>
    </w:r>
    <w:r>
      <w:rPr>
        <w:rFonts w:hint="eastAsia"/>
      </w:rPr>
      <w:fldChar w:fldCharType="end"/>
    </w:r>
  </w:p>
  <w:p>
    <w:pPr>
      <w:pStyle w:val="17"/>
      <w:rPr>
        <w:rFonts w:hint="eastAsia"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B2AE"/>
    <w:multiLevelType w:val="singleLevel"/>
    <w:tmpl w:val="1EC3B2AE"/>
    <w:lvl w:ilvl="0" w:tentative="0">
      <w:start w:val="8"/>
      <w:numFmt w:val="chineseCounting"/>
      <w:suff w:val="nothing"/>
      <w:lvlText w:val="%1、"/>
      <w:lvlJc w:val="left"/>
      <w:rPr>
        <w:rFonts w:hint="eastAsia"/>
      </w:rPr>
    </w:lvl>
  </w:abstractNum>
  <w:abstractNum w:abstractNumId="1">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055E1A"/>
    <w:rsid w:val="000E0E36"/>
    <w:rsid w:val="000E39B3"/>
    <w:rsid w:val="0012565F"/>
    <w:rsid w:val="00147E36"/>
    <w:rsid w:val="00191F11"/>
    <w:rsid w:val="00196771"/>
    <w:rsid w:val="001A0FC0"/>
    <w:rsid w:val="001B4150"/>
    <w:rsid w:val="001E2949"/>
    <w:rsid w:val="001F712F"/>
    <w:rsid w:val="00201EEF"/>
    <w:rsid w:val="002210F3"/>
    <w:rsid w:val="002C03F1"/>
    <w:rsid w:val="00302ED1"/>
    <w:rsid w:val="00326742"/>
    <w:rsid w:val="00375C98"/>
    <w:rsid w:val="003932C2"/>
    <w:rsid w:val="003A4E69"/>
    <w:rsid w:val="003B77BC"/>
    <w:rsid w:val="003B7FC9"/>
    <w:rsid w:val="004262BE"/>
    <w:rsid w:val="00450459"/>
    <w:rsid w:val="004661EA"/>
    <w:rsid w:val="004C0209"/>
    <w:rsid w:val="004C237B"/>
    <w:rsid w:val="004C4CF0"/>
    <w:rsid w:val="004D49B0"/>
    <w:rsid w:val="004F7734"/>
    <w:rsid w:val="00501395"/>
    <w:rsid w:val="00506046"/>
    <w:rsid w:val="00507563"/>
    <w:rsid w:val="00530C1B"/>
    <w:rsid w:val="00544164"/>
    <w:rsid w:val="0055182B"/>
    <w:rsid w:val="00582F65"/>
    <w:rsid w:val="0059446F"/>
    <w:rsid w:val="005C0214"/>
    <w:rsid w:val="005C0EE6"/>
    <w:rsid w:val="005C2335"/>
    <w:rsid w:val="00605DEB"/>
    <w:rsid w:val="00614746"/>
    <w:rsid w:val="00653153"/>
    <w:rsid w:val="00660AD9"/>
    <w:rsid w:val="006A2772"/>
    <w:rsid w:val="006A2F19"/>
    <w:rsid w:val="006C3063"/>
    <w:rsid w:val="00715525"/>
    <w:rsid w:val="00733C12"/>
    <w:rsid w:val="00763681"/>
    <w:rsid w:val="00765F05"/>
    <w:rsid w:val="007843DF"/>
    <w:rsid w:val="007A185F"/>
    <w:rsid w:val="007B786F"/>
    <w:rsid w:val="007C460B"/>
    <w:rsid w:val="007D13F3"/>
    <w:rsid w:val="007F3A57"/>
    <w:rsid w:val="00801974"/>
    <w:rsid w:val="008305F6"/>
    <w:rsid w:val="00852B95"/>
    <w:rsid w:val="00876132"/>
    <w:rsid w:val="008822C4"/>
    <w:rsid w:val="00894F26"/>
    <w:rsid w:val="00896A75"/>
    <w:rsid w:val="008B3205"/>
    <w:rsid w:val="008B7E9E"/>
    <w:rsid w:val="008D7C56"/>
    <w:rsid w:val="008E05DE"/>
    <w:rsid w:val="008F0E3D"/>
    <w:rsid w:val="00915C0F"/>
    <w:rsid w:val="009200C0"/>
    <w:rsid w:val="00954C03"/>
    <w:rsid w:val="009B256E"/>
    <w:rsid w:val="009C24ED"/>
    <w:rsid w:val="009D12C1"/>
    <w:rsid w:val="009D6D49"/>
    <w:rsid w:val="00A07B30"/>
    <w:rsid w:val="00A27C3B"/>
    <w:rsid w:val="00A36094"/>
    <w:rsid w:val="00A604A8"/>
    <w:rsid w:val="00AA3AB2"/>
    <w:rsid w:val="00AA699E"/>
    <w:rsid w:val="00AC0A72"/>
    <w:rsid w:val="00AC3306"/>
    <w:rsid w:val="00AF1BAA"/>
    <w:rsid w:val="00B10B0F"/>
    <w:rsid w:val="00B27981"/>
    <w:rsid w:val="00B37F93"/>
    <w:rsid w:val="00B605BD"/>
    <w:rsid w:val="00BA0043"/>
    <w:rsid w:val="00C0578E"/>
    <w:rsid w:val="00C26B3D"/>
    <w:rsid w:val="00C3245B"/>
    <w:rsid w:val="00C33348"/>
    <w:rsid w:val="00C433D4"/>
    <w:rsid w:val="00C458A3"/>
    <w:rsid w:val="00CE2056"/>
    <w:rsid w:val="00D057BA"/>
    <w:rsid w:val="00D1784A"/>
    <w:rsid w:val="00D43F37"/>
    <w:rsid w:val="00D70772"/>
    <w:rsid w:val="00D712E4"/>
    <w:rsid w:val="00DA3D91"/>
    <w:rsid w:val="00DA6FB2"/>
    <w:rsid w:val="00DC0ABE"/>
    <w:rsid w:val="00DE6272"/>
    <w:rsid w:val="00DF3EC6"/>
    <w:rsid w:val="00E5627A"/>
    <w:rsid w:val="00E87AE1"/>
    <w:rsid w:val="00E94E13"/>
    <w:rsid w:val="00EA694E"/>
    <w:rsid w:val="00F13697"/>
    <w:rsid w:val="00F2542E"/>
    <w:rsid w:val="00F44784"/>
    <w:rsid w:val="00F61E66"/>
    <w:rsid w:val="00F6259C"/>
    <w:rsid w:val="00F74098"/>
    <w:rsid w:val="00FB0FE6"/>
    <w:rsid w:val="00FC23CC"/>
    <w:rsid w:val="00FC4116"/>
    <w:rsid w:val="010C6BAD"/>
    <w:rsid w:val="013E1821"/>
    <w:rsid w:val="02B90D8E"/>
    <w:rsid w:val="03587BE0"/>
    <w:rsid w:val="038B6C58"/>
    <w:rsid w:val="03C10485"/>
    <w:rsid w:val="058F5FC0"/>
    <w:rsid w:val="06357962"/>
    <w:rsid w:val="06524D89"/>
    <w:rsid w:val="06B24301"/>
    <w:rsid w:val="06B95A33"/>
    <w:rsid w:val="06DE09DF"/>
    <w:rsid w:val="072B244C"/>
    <w:rsid w:val="07805F5A"/>
    <w:rsid w:val="093C6FEA"/>
    <w:rsid w:val="09CA0A5A"/>
    <w:rsid w:val="0A2157CF"/>
    <w:rsid w:val="0A35223F"/>
    <w:rsid w:val="0AAA590F"/>
    <w:rsid w:val="0BDE7D6F"/>
    <w:rsid w:val="0D2E4C78"/>
    <w:rsid w:val="0D373D58"/>
    <w:rsid w:val="0D53059E"/>
    <w:rsid w:val="0D583CAD"/>
    <w:rsid w:val="0E4B790E"/>
    <w:rsid w:val="0E521A76"/>
    <w:rsid w:val="0E8C3F71"/>
    <w:rsid w:val="0F055926"/>
    <w:rsid w:val="0F8D601A"/>
    <w:rsid w:val="0FEA0B2D"/>
    <w:rsid w:val="100B7BF3"/>
    <w:rsid w:val="10461AF8"/>
    <w:rsid w:val="10D568F9"/>
    <w:rsid w:val="1105316E"/>
    <w:rsid w:val="114A7C6E"/>
    <w:rsid w:val="11C95013"/>
    <w:rsid w:val="11D222BE"/>
    <w:rsid w:val="12597751"/>
    <w:rsid w:val="12607967"/>
    <w:rsid w:val="150E16C8"/>
    <w:rsid w:val="152D1270"/>
    <w:rsid w:val="16EB44D5"/>
    <w:rsid w:val="171E7BBB"/>
    <w:rsid w:val="181E31A7"/>
    <w:rsid w:val="1927334D"/>
    <w:rsid w:val="198736AE"/>
    <w:rsid w:val="1A027B1F"/>
    <w:rsid w:val="1A2129B3"/>
    <w:rsid w:val="1AE93B1B"/>
    <w:rsid w:val="1BBA192B"/>
    <w:rsid w:val="1BD05417"/>
    <w:rsid w:val="1D490935"/>
    <w:rsid w:val="1E066E89"/>
    <w:rsid w:val="1E4E64A4"/>
    <w:rsid w:val="1E5408BE"/>
    <w:rsid w:val="1E561621"/>
    <w:rsid w:val="1F6B3698"/>
    <w:rsid w:val="1FF0628A"/>
    <w:rsid w:val="2155566D"/>
    <w:rsid w:val="216D37EA"/>
    <w:rsid w:val="21DD425A"/>
    <w:rsid w:val="22494EE6"/>
    <w:rsid w:val="23156846"/>
    <w:rsid w:val="242A1BA0"/>
    <w:rsid w:val="24520CF3"/>
    <w:rsid w:val="254D4979"/>
    <w:rsid w:val="28141610"/>
    <w:rsid w:val="28AE550B"/>
    <w:rsid w:val="29263201"/>
    <w:rsid w:val="2A4209CE"/>
    <w:rsid w:val="2A9B3790"/>
    <w:rsid w:val="2AAF4B3F"/>
    <w:rsid w:val="2BBB52C1"/>
    <w:rsid w:val="2CBA495C"/>
    <w:rsid w:val="2D5653ED"/>
    <w:rsid w:val="2E8621DF"/>
    <w:rsid w:val="2F4910A0"/>
    <w:rsid w:val="2F7C53CF"/>
    <w:rsid w:val="2FE61DA5"/>
    <w:rsid w:val="336A0E92"/>
    <w:rsid w:val="351A1B36"/>
    <w:rsid w:val="3641657F"/>
    <w:rsid w:val="365E067E"/>
    <w:rsid w:val="37197EAF"/>
    <w:rsid w:val="37C31508"/>
    <w:rsid w:val="384F25AE"/>
    <w:rsid w:val="386D0757"/>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54F44BB"/>
    <w:rsid w:val="467E50CF"/>
    <w:rsid w:val="47024FFC"/>
    <w:rsid w:val="47F47D36"/>
    <w:rsid w:val="48A3497C"/>
    <w:rsid w:val="48D43F52"/>
    <w:rsid w:val="48DD7E23"/>
    <w:rsid w:val="493C65B5"/>
    <w:rsid w:val="49DF3234"/>
    <w:rsid w:val="4A3A12BA"/>
    <w:rsid w:val="4A762B0E"/>
    <w:rsid w:val="4AA8049B"/>
    <w:rsid w:val="4B16537F"/>
    <w:rsid w:val="4C31702D"/>
    <w:rsid w:val="4D481CEC"/>
    <w:rsid w:val="4E2F73D0"/>
    <w:rsid w:val="4E5A12D9"/>
    <w:rsid w:val="4F4401A3"/>
    <w:rsid w:val="4F8322EA"/>
    <w:rsid w:val="4FB524F0"/>
    <w:rsid w:val="50790041"/>
    <w:rsid w:val="507E1AFC"/>
    <w:rsid w:val="50AE519E"/>
    <w:rsid w:val="51492906"/>
    <w:rsid w:val="51BF6359"/>
    <w:rsid w:val="52863B87"/>
    <w:rsid w:val="531A6557"/>
    <w:rsid w:val="53D045E4"/>
    <w:rsid w:val="5475552D"/>
    <w:rsid w:val="55BF6BFB"/>
    <w:rsid w:val="55F67B88"/>
    <w:rsid w:val="56083A20"/>
    <w:rsid w:val="57D62FF5"/>
    <w:rsid w:val="58934E78"/>
    <w:rsid w:val="590435D7"/>
    <w:rsid w:val="594C1A6B"/>
    <w:rsid w:val="59A94644"/>
    <w:rsid w:val="59EA6123"/>
    <w:rsid w:val="5A4B23CD"/>
    <w:rsid w:val="5AAA3A4D"/>
    <w:rsid w:val="5D77458B"/>
    <w:rsid w:val="5E250C96"/>
    <w:rsid w:val="5E2E5847"/>
    <w:rsid w:val="5E6F6ED5"/>
    <w:rsid w:val="5E9C1E27"/>
    <w:rsid w:val="5F204B87"/>
    <w:rsid w:val="5FA9130F"/>
    <w:rsid w:val="600C5A71"/>
    <w:rsid w:val="60583943"/>
    <w:rsid w:val="60656DAB"/>
    <w:rsid w:val="608F51E1"/>
    <w:rsid w:val="61AC7252"/>
    <w:rsid w:val="61BF73D7"/>
    <w:rsid w:val="623601A4"/>
    <w:rsid w:val="624D1AA5"/>
    <w:rsid w:val="62865191"/>
    <w:rsid w:val="62E67CBB"/>
    <w:rsid w:val="62FC213B"/>
    <w:rsid w:val="63837975"/>
    <w:rsid w:val="64834C2B"/>
    <w:rsid w:val="64A76AAF"/>
    <w:rsid w:val="64D7521C"/>
    <w:rsid w:val="6558250E"/>
    <w:rsid w:val="65816D3A"/>
    <w:rsid w:val="65D22C57"/>
    <w:rsid w:val="661C4D4C"/>
    <w:rsid w:val="666837E3"/>
    <w:rsid w:val="679E6DD3"/>
    <w:rsid w:val="67B13757"/>
    <w:rsid w:val="687365C5"/>
    <w:rsid w:val="68887BFA"/>
    <w:rsid w:val="697630CB"/>
    <w:rsid w:val="69C51D0E"/>
    <w:rsid w:val="6A1D4C59"/>
    <w:rsid w:val="6A413706"/>
    <w:rsid w:val="6AD073F3"/>
    <w:rsid w:val="6B7E2792"/>
    <w:rsid w:val="6D1B2D9B"/>
    <w:rsid w:val="6D7B2CA6"/>
    <w:rsid w:val="6DC7655A"/>
    <w:rsid w:val="6DDF674F"/>
    <w:rsid w:val="6E4727B0"/>
    <w:rsid w:val="6E9D3662"/>
    <w:rsid w:val="6F56673C"/>
    <w:rsid w:val="700112AC"/>
    <w:rsid w:val="70CF32BE"/>
    <w:rsid w:val="71C9367F"/>
    <w:rsid w:val="71FB5C42"/>
    <w:rsid w:val="721660FE"/>
    <w:rsid w:val="72201501"/>
    <w:rsid w:val="722C57E9"/>
    <w:rsid w:val="73F33B39"/>
    <w:rsid w:val="74EE34AF"/>
    <w:rsid w:val="75BC330E"/>
    <w:rsid w:val="77C4324D"/>
    <w:rsid w:val="78C751FA"/>
    <w:rsid w:val="78F62FD2"/>
    <w:rsid w:val="7A0E7069"/>
    <w:rsid w:val="7B0F5121"/>
    <w:rsid w:val="7B2C15BE"/>
    <w:rsid w:val="7B756C9A"/>
    <w:rsid w:val="7C8576B1"/>
    <w:rsid w:val="7D2716C3"/>
    <w:rsid w:val="7DB64066"/>
    <w:rsid w:val="7E9F6ABC"/>
    <w:rsid w:val="7EAC0B81"/>
    <w:rsid w:val="7FC51D2C"/>
    <w:rsid w:val="7FC818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4"/>
    <w:qFormat/>
    <w:uiPriority w:val="99"/>
    <w:pPr>
      <w:keepNext/>
      <w:keepLines/>
      <w:spacing w:before="340" w:after="330" w:line="578" w:lineRule="auto"/>
      <w:jc w:val="center"/>
      <w:outlineLvl w:val="0"/>
    </w:pPr>
    <w:rPr>
      <w:b/>
      <w:bCs/>
      <w:kern w:val="44"/>
      <w:sz w:val="32"/>
      <w:szCs w:val="32"/>
    </w:rPr>
  </w:style>
  <w:style w:type="paragraph" w:styleId="4">
    <w:name w:val="heading 2"/>
    <w:basedOn w:val="1"/>
    <w:next w:val="1"/>
    <w:link w:val="35"/>
    <w:qFormat/>
    <w:uiPriority w:val="99"/>
    <w:pPr>
      <w:keepNext/>
      <w:keepLines/>
      <w:spacing w:before="260" w:after="260" w:line="416" w:lineRule="auto"/>
      <w:outlineLvl w:val="1"/>
    </w:pPr>
    <w:rPr>
      <w:rFonts w:ascii="Arial" w:hAnsi="Arial" w:cs="Arial"/>
      <w:b/>
      <w:bCs/>
      <w:sz w:val="28"/>
      <w:szCs w:val="28"/>
    </w:rPr>
  </w:style>
  <w:style w:type="paragraph" w:styleId="5">
    <w:name w:val="heading 3"/>
    <w:basedOn w:val="1"/>
    <w:next w:val="1"/>
    <w:link w:val="36"/>
    <w:qFormat/>
    <w:uiPriority w:val="99"/>
    <w:pPr>
      <w:keepNext/>
      <w:keepLines/>
      <w:spacing w:before="260" w:after="260" w:line="416" w:lineRule="auto"/>
      <w:outlineLvl w:val="2"/>
    </w:pPr>
    <w:rPr>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c 7"/>
    <w:basedOn w:val="1"/>
    <w:next w:val="1"/>
    <w:semiHidden/>
    <w:qFormat/>
    <w:uiPriority w:val="99"/>
    <w:pPr>
      <w:ind w:left="1260"/>
      <w:jc w:val="left"/>
    </w:pPr>
    <w:rPr>
      <w:rFonts w:ascii="Times New Roman" w:hAnsi="Times New Roman" w:cs="Times New Roman"/>
      <w:sz w:val="18"/>
      <w:szCs w:val="18"/>
    </w:rPr>
  </w:style>
  <w:style w:type="paragraph" w:styleId="7">
    <w:name w:val="Document Map"/>
    <w:basedOn w:val="1"/>
    <w:link w:val="64"/>
    <w:semiHidden/>
    <w:qFormat/>
    <w:uiPriority w:val="99"/>
    <w:pPr>
      <w:shd w:val="clear" w:color="auto" w:fill="000080"/>
    </w:pPr>
    <w:rPr>
      <w:rFonts w:ascii="Times New Roman" w:hAnsi="Times New Roman" w:cs="Times New Roman"/>
    </w:rPr>
  </w:style>
  <w:style w:type="paragraph" w:styleId="8">
    <w:name w:val="annotation text"/>
    <w:basedOn w:val="1"/>
    <w:link w:val="61"/>
    <w:semiHidden/>
    <w:qFormat/>
    <w:uiPriority w:val="99"/>
    <w:pPr>
      <w:jc w:val="left"/>
    </w:pPr>
  </w:style>
  <w:style w:type="paragraph" w:styleId="9">
    <w:name w:val="Body Text"/>
    <w:basedOn w:val="1"/>
    <w:link w:val="59"/>
    <w:qFormat/>
    <w:uiPriority w:val="99"/>
    <w:pPr>
      <w:spacing w:after="120"/>
    </w:pPr>
  </w:style>
  <w:style w:type="paragraph" w:styleId="10">
    <w:name w:val="Body Text Indent"/>
    <w:basedOn w:val="1"/>
    <w:link w:val="58"/>
    <w:qFormat/>
    <w:uiPriority w:val="99"/>
    <w:pPr>
      <w:spacing w:after="120"/>
      <w:ind w:left="420" w:leftChars="200"/>
    </w:pPr>
    <w:rPr>
      <w:rFonts w:ascii="Times New Roman" w:hAnsi="Times New Roman" w:cs="Times New Roman"/>
    </w:rPr>
  </w:style>
  <w:style w:type="paragraph" w:styleId="11">
    <w:name w:val="toc 5"/>
    <w:basedOn w:val="1"/>
    <w:next w:val="1"/>
    <w:semiHidden/>
    <w:qFormat/>
    <w:uiPriority w:val="99"/>
    <w:pPr>
      <w:ind w:left="840"/>
      <w:jc w:val="left"/>
    </w:pPr>
    <w:rPr>
      <w:rFonts w:ascii="Times New Roman" w:hAnsi="Times New Roman" w:cs="Times New Roman"/>
      <w:sz w:val="18"/>
      <w:szCs w:val="18"/>
    </w:rPr>
  </w:style>
  <w:style w:type="paragraph" w:styleId="12">
    <w:name w:val="toc 3"/>
    <w:basedOn w:val="1"/>
    <w:next w:val="1"/>
    <w:semiHidden/>
    <w:qFormat/>
    <w:uiPriority w:val="99"/>
    <w:pPr>
      <w:tabs>
        <w:tab w:val="right" w:leader="dot" w:pos="8777"/>
      </w:tabs>
      <w:ind w:firstLine="420" w:firstLineChars="200"/>
    </w:pPr>
    <w:rPr>
      <w:rFonts w:ascii="Times New Roman" w:hAnsi="Times New Roman" w:cs="Times New Roman"/>
    </w:rPr>
  </w:style>
  <w:style w:type="paragraph" w:styleId="13">
    <w:name w:val="Plain Text"/>
    <w:basedOn w:val="1"/>
    <w:link w:val="37"/>
    <w:qFormat/>
    <w:uiPriority w:val="99"/>
    <w:pPr>
      <w:adjustRightInd w:val="0"/>
      <w:spacing w:line="312" w:lineRule="atLeast"/>
      <w:textAlignment w:val="baseline"/>
    </w:pPr>
    <w:rPr>
      <w:rFonts w:ascii="宋体" w:hAnsi="Courier New" w:cs="宋体"/>
      <w:kern w:val="0"/>
    </w:rPr>
  </w:style>
  <w:style w:type="paragraph" w:styleId="14">
    <w:name w:val="toc 8"/>
    <w:basedOn w:val="1"/>
    <w:next w:val="1"/>
    <w:semiHidden/>
    <w:qFormat/>
    <w:uiPriority w:val="99"/>
    <w:pPr>
      <w:ind w:left="1470"/>
      <w:jc w:val="left"/>
    </w:pPr>
    <w:rPr>
      <w:rFonts w:ascii="Times New Roman" w:hAnsi="Times New Roman" w:cs="Times New Roman"/>
      <w:sz w:val="18"/>
      <w:szCs w:val="18"/>
    </w:rPr>
  </w:style>
  <w:style w:type="paragraph" w:styleId="15">
    <w:name w:val="Date"/>
    <w:basedOn w:val="1"/>
    <w:next w:val="1"/>
    <w:link w:val="63"/>
    <w:qFormat/>
    <w:uiPriority w:val="99"/>
    <w:pPr>
      <w:ind w:left="100" w:leftChars="2500"/>
    </w:pPr>
    <w:rPr>
      <w:rFonts w:ascii="Times New Roman" w:hAnsi="Times New Roman" w:cs="Times New Roman"/>
    </w:rPr>
  </w:style>
  <w:style w:type="paragraph" w:styleId="16">
    <w:name w:val="Balloon Text"/>
    <w:basedOn w:val="1"/>
    <w:link w:val="38"/>
    <w:semiHidden/>
    <w:qFormat/>
    <w:uiPriority w:val="99"/>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99"/>
    <w:pPr>
      <w:tabs>
        <w:tab w:val="right" w:leader="dot" w:pos="8777"/>
      </w:tabs>
      <w:spacing w:beforeLines="50"/>
    </w:pPr>
    <w:rPr>
      <w:rFonts w:ascii="Times New Roman" w:hAnsi="Times New Roman" w:cs="Times New Roman"/>
      <w:b/>
      <w:bCs/>
      <w:caps/>
      <w:sz w:val="24"/>
      <w:szCs w:val="24"/>
    </w:rPr>
  </w:style>
  <w:style w:type="paragraph" w:styleId="20">
    <w:name w:val="toc 4"/>
    <w:basedOn w:val="1"/>
    <w:next w:val="1"/>
    <w:semiHidden/>
    <w:qFormat/>
    <w:uiPriority w:val="99"/>
    <w:pPr>
      <w:ind w:left="630"/>
      <w:jc w:val="left"/>
    </w:pPr>
    <w:rPr>
      <w:rFonts w:ascii="Times New Roman" w:hAnsi="Times New Roman" w:cs="Times New Roman"/>
      <w:sz w:val="18"/>
      <w:szCs w:val="18"/>
    </w:rPr>
  </w:style>
  <w:style w:type="paragraph" w:styleId="21">
    <w:name w:val="toc 6"/>
    <w:basedOn w:val="1"/>
    <w:next w:val="1"/>
    <w:semiHidden/>
    <w:qFormat/>
    <w:uiPriority w:val="99"/>
    <w:pPr>
      <w:ind w:left="1050"/>
      <w:jc w:val="left"/>
    </w:pPr>
    <w:rPr>
      <w:rFonts w:ascii="Times New Roman" w:hAnsi="Times New Roman" w:cs="Times New Roman"/>
      <w:sz w:val="18"/>
      <w:szCs w:val="18"/>
    </w:rPr>
  </w:style>
  <w:style w:type="paragraph" w:styleId="22">
    <w:name w:val="toc 2"/>
    <w:basedOn w:val="1"/>
    <w:next w:val="1"/>
    <w:semiHidden/>
    <w:qFormat/>
    <w:uiPriority w:val="99"/>
    <w:pPr>
      <w:widowControl/>
      <w:tabs>
        <w:tab w:val="right" w:leader="dot" w:pos="8777"/>
      </w:tabs>
      <w:spacing w:beforeLines="20"/>
      <w:ind w:firstLine="210" w:firstLineChars="100"/>
    </w:pPr>
    <w:rPr>
      <w:rFonts w:ascii="Times New Roman" w:hAnsi="Times New Roman" w:cs="Times New Roman"/>
      <w:smallCaps/>
    </w:rPr>
  </w:style>
  <w:style w:type="paragraph" w:styleId="23">
    <w:name w:val="toc 9"/>
    <w:basedOn w:val="1"/>
    <w:next w:val="1"/>
    <w:semiHidden/>
    <w:qFormat/>
    <w:uiPriority w:val="99"/>
    <w:pPr>
      <w:ind w:left="1680"/>
      <w:jc w:val="left"/>
    </w:pPr>
    <w:rPr>
      <w:rFonts w:ascii="Times New Roman" w:hAnsi="Times New Roman" w:cs="Times New Roman"/>
      <w:sz w:val="18"/>
      <w:szCs w:val="18"/>
    </w:rPr>
  </w:style>
  <w:style w:type="paragraph" w:styleId="24">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5">
    <w:name w:val="annotation subject"/>
    <w:basedOn w:val="8"/>
    <w:next w:val="8"/>
    <w:link w:val="62"/>
    <w:semiHidden/>
    <w:qFormat/>
    <w:uiPriority w:val="99"/>
    <w:rPr>
      <w:rFonts w:ascii="Times New Roman" w:hAnsi="Times New Roman" w:cs="Times New Roman"/>
      <w:b/>
      <w:bCs/>
    </w:rPr>
  </w:style>
  <w:style w:type="paragraph" w:styleId="26">
    <w:name w:val="Body Text First Indent"/>
    <w:basedOn w:val="9"/>
    <w:link w:val="60"/>
    <w:qFormat/>
    <w:uiPriority w:val="99"/>
    <w:pPr>
      <w:ind w:firstLine="420" w:firstLineChars="100"/>
    </w:pPr>
    <w:rPr>
      <w:rFonts w:ascii="Times New Roman" w:hAnsi="Times New Roman" w:cs="Times New Roman"/>
    </w:rPr>
  </w:style>
  <w:style w:type="character" w:styleId="29">
    <w:name w:val="Strong"/>
    <w:basedOn w:val="28"/>
    <w:qFormat/>
    <w:uiPriority w:val="99"/>
    <w:rPr>
      <w:b/>
      <w:bCs/>
    </w:rPr>
  </w:style>
  <w:style w:type="character" w:styleId="30">
    <w:name w:val="page number"/>
    <w:basedOn w:val="28"/>
    <w:qFormat/>
    <w:uiPriority w:val="99"/>
  </w:style>
  <w:style w:type="character" w:styleId="31">
    <w:name w:val="FollowedHyperlink"/>
    <w:basedOn w:val="28"/>
    <w:qFormat/>
    <w:uiPriority w:val="99"/>
    <w:rPr>
      <w:color w:val="800080"/>
      <w:u w:val="single"/>
    </w:rPr>
  </w:style>
  <w:style w:type="character" w:styleId="32">
    <w:name w:val="Hyperlink"/>
    <w:basedOn w:val="28"/>
    <w:qFormat/>
    <w:uiPriority w:val="99"/>
    <w:rPr>
      <w:color w:val="auto"/>
      <w:u w:val="none"/>
    </w:rPr>
  </w:style>
  <w:style w:type="character" w:styleId="33">
    <w:name w:val="annotation reference"/>
    <w:basedOn w:val="28"/>
    <w:semiHidden/>
    <w:qFormat/>
    <w:uiPriority w:val="99"/>
    <w:rPr>
      <w:sz w:val="21"/>
      <w:szCs w:val="21"/>
    </w:rPr>
  </w:style>
  <w:style w:type="character" w:customStyle="1" w:styleId="34">
    <w:name w:val="标题 1 Char"/>
    <w:basedOn w:val="28"/>
    <w:link w:val="3"/>
    <w:qFormat/>
    <w:locked/>
    <w:uiPriority w:val="99"/>
    <w:rPr>
      <w:rFonts w:ascii="Calibri" w:hAnsi="Calibri" w:eastAsia="宋体" w:cs="Calibri"/>
      <w:b/>
      <w:bCs/>
      <w:kern w:val="44"/>
      <w:sz w:val="22"/>
      <w:szCs w:val="22"/>
    </w:rPr>
  </w:style>
  <w:style w:type="character" w:customStyle="1" w:styleId="35">
    <w:name w:val="标题 2 Char"/>
    <w:basedOn w:val="28"/>
    <w:link w:val="4"/>
    <w:qFormat/>
    <w:locked/>
    <w:uiPriority w:val="99"/>
    <w:rPr>
      <w:rFonts w:ascii="Arial" w:hAnsi="Arial" w:eastAsia="宋体" w:cs="Arial"/>
      <w:b/>
      <w:bCs/>
      <w:kern w:val="2"/>
      <w:sz w:val="22"/>
      <w:szCs w:val="22"/>
    </w:rPr>
  </w:style>
  <w:style w:type="character" w:customStyle="1" w:styleId="36">
    <w:name w:val="标题 3 Char"/>
    <w:basedOn w:val="28"/>
    <w:link w:val="5"/>
    <w:semiHidden/>
    <w:qFormat/>
    <w:locked/>
    <w:uiPriority w:val="99"/>
    <w:rPr>
      <w:b/>
      <w:bCs/>
      <w:sz w:val="32"/>
      <w:szCs w:val="32"/>
    </w:rPr>
  </w:style>
  <w:style w:type="character" w:customStyle="1" w:styleId="37">
    <w:name w:val="纯文本 Char"/>
    <w:basedOn w:val="28"/>
    <w:link w:val="13"/>
    <w:qFormat/>
    <w:locked/>
    <w:uiPriority w:val="99"/>
    <w:rPr>
      <w:rFonts w:ascii="宋体" w:hAnsi="Courier New" w:eastAsia="宋体" w:cs="宋体"/>
      <w:sz w:val="21"/>
      <w:szCs w:val="21"/>
    </w:rPr>
  </w:style>
  <w:style w:type="character" w:customStyle="1" w:styleId="38">
    <w:name w:val="批注框文本 Char"/>
    <w:basedOn w:val="28"/>
    <w:link w:val="16"/>
    <w:semiHidden/>
    <w:qFormat/>
    <w:locked/>
    <w:uiPriority w:val="99"/>
    <w:rPr>
      <w:rFonts w:ascii="Calibri" w:hAnsi="Calibri" w:eastAsia="宋体" w:cs="Calibri"/>
      <w:kern w:val="2"/>
      <w:sz w:val="18"/>
      <w:szCs w:val="18"/>
    </w:rPr>
  </w:style>
  <w:style w:type="character" w:customStyle="1" w:styleId="39">
    <w:name w:val="页脚 Char"/>
    <w:basedOn w:val="28"/>
    <w:link w:val="17"/>
    <w:qFormat/>
    <w:locked/>
    <w:uiPriority w:val="99"/>
    <w:rPr>
      <w:rFonts w:ascii="Calibri" w:hAnsi="Calibri" w:eastAsia="宋体" w:cs="Calibri"/>
      <w:sz w:val="18"/>
      <w:szCs w:val="18"/>
    </w:rPr>
  </w:style>
  <w:style w:type="character" w:customStyle="1" w:styleId="40">
    <w:name w:val="页眉 Char"/>
    <w:basedOn w:val="28"/>
    <w:link w:val="18"/>
    <w:qFormat/>
    <w:locked/>
    <w:uiPriority w:val="99"/>
    <w:rPr>
      <w:rFonts w:ascii="Calibri" w:hAnsi="Calibri" w:eastAsia="宋体" w:cs="Calibri"/>
      <w:sz w:val="18"/>
      <w:szCs w:val="18"/>
    </w:rPr>
  </w:style>
  <w:style w:type="paragraph" w:customStyle="1" w:styleId="41">
    <w:name w:val="1级标题"/>
    <w:basedOn w:val="1"/>
    <w:qFormat/>
    <w:uiPriority w:val="99"/>
    <w:pPr>
      <w:spacing w:before="60" w:line="460" w:lineRule="exact"/>
      <w:outlineLvl w:val="0"/>
    </w:pPr>
    <w:rPr>
      <w:b/>
      <w:bCs/>
      <w:sz w:val="32"/>
      <w:szCs w:val="32"/>
    </w:rPr>
  </w:style>
  <w:style w:type="paragraph" w:customStyle="1" w:styleId="42">
    <w:name w:val="三级标题"/>
    <w:basedOn w:val="43"/>
    <w:qFormat/>
    <w:uiPriority w:val="99"/>
    <w:pPr>
      <w:spacing w:before="300"/>
      <w:ind w:firstLine="0" w:firstLineChars="0"/>
      <w:outlineLvl w:val="2"/>
    </w:pPr>
    <w:rPr>
      <w:b/>
      <w:bCs/>
    </w:rPr>
  </w:style>
  <w:style w:type="paragraph" w:customStyle="1" w:styleId="43">
    <w:name w:val="正文01"/>
    <w:basedOn w:val="1"/>
    <w:qFormat/>
    <w:uiPriority w:val="99"/>
    <w:pPr>
      <w:spacing w:before="60" w:line="460" w:lineRule="exact"/>
      <w:ind w:firstLine="200" w:firstLineChars="200"/>
    </w:pPr>
    <w:rPr>
      <w:sz w:val="24"/>
      <w:szCs w:val="24"/>
    </w:rPr>
  </w:style>
  <w:style w:type="paragraph" w:customStyle="1" w:styleId="44">
    <w:name w:val="样式 正文001 + Times New Roman"/>
    <w:basedOn w:val="45"/>
    <w:qFormat/>
    <w:uiPriority w:val="99"/>
    <w:pPr>
      <w:ind w:firstLine="482" w:firstLineChars="0"/>
    </w:pPr>
    <w:rPr>
      <w:rFonts w:ascii="Calibri" w:hAnsi="Calibri" w:cs="Calibri"/>
    </w:rPr>
  </w:style>
  <w:style w:type="paragraph" w:customStyle="1" w:styleId="45">
    <w:name w:val="正文001"/>
    <w:basedOn w:val="1"/>
    <w:qFormat/>
    <w:uiPriority w:val="99"/>
    <w:pPr>
      <w:spacing w:before="60" w:line="460" w:lineRule="exact"/>
      <w:ind w:firstLine="200" w:firstLineChars="200"/>
    </w:pPr>
    <w:rPr>
      <w:rFonts w:ascii="Arial" w:hAnsi="Arial" w:cs="Arial"/>
      <w:sz w:val="24"/>
      <w:szCs w:val="24"/>
    </w:rPr>
  </w:style>
  <w:style w:type="paragraph" w:customStyle="1" w:styleId="46">
    <w:name w:val="3级标题"/>
    <w:basedOn w:val="1"/>
    <w:qFormat/>
    <w:uiPriority w:val="99"/>
    <w:pPr>
      <w:spacing w:before="300" w:line="460" w:lineRule="exact"/>
      <w:outlineLvl w:val="2"/>
    </w:pPr>
    <w:rPr>
      <w:rFonts w:ascii="Arial" w:hAnsi="Arial" w:cs="Arial"/>
      <w:b/>
      <w:bCs/>
      <w:sz w:val="24"/>
      <w:szCs w:val="24"/>
    </w:rPr>
  </w:style>
  <w:style w:type="paragraph" w:customStyle="1" w:styleId="47">
    <w:name w:val="2级标题"/>
    <w:basedOn w:val="1"/>
    <w:qFormat/>
    <w:uiPriority w:val="99"/>
    <w:pPr>
      <w:spacing w:before="60" w:line="460" w:lineRule="exact"/>
      <w:outlineLvl w:val="1"/>
    </w:pPr>
    <w:rPr>
      <w:b/>
      <w:bCs/>
      <w:sz w:val="28"/>
      <w:szCs w:val="28"/>
    </w:rPr>
  </w:style>
  <w:style w:type="paragraph" w:customStyle="1" w:styleId="48">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reader-word-layer reader-word-s5-7"/>
    <w:basedOn w:val="1"/>
    <w:qFormat/>
    <w:uiPriority w:val="0"/>
    <w:pPr>
      <w:widowControl/>
      <w:spacing w:beforeAutospacing="1" w:afterAutospacing="1"/>
      <w:jc w:val="left"/>
    </w:pPr>
    <w:rPr>
      <w:rFonts w:ascii="宋体" w:hAnsi="宋体" w:cs="宋体"/>
      <w:kern w:val="0"/>
      <w:sz w:val="24"/>
      <w:szCs w:val="24"/>
    </w:rPr>
  </w:style>
  <w:style w:type="paragraph" w:customStyle="1" w:styleId="50">
    <w:name w:val="reader-word-layer reader-word-s5-9"/>
    <w:basedOn w:val="1"/>
    <w:qFormat/>
    <w:uiPriority w:val="0"/>
    <w:pPr>
      <w:widowControl/>
      <w:spacing w:beforeAutospacing="1" w:afterAutospacing="1"/>
      <w:jc w:val="left"/>
    </w:pPr>
    <w:rPr>
      <w:rFonts w:ascii="宋体" w:hAnsi="宋体" w:cs="宋体"/>
      <w:kern w:val="0"/>
      <w:sz w:val="24"/>
      <w:szCs w:val="24"/>
    </w:rPr>
  </w:style>
  <w:style w:type="paragraph" w:customStyle="1" w:styleId="51">
    <w:name w:val="reader-word-layer reader-word-s5-1 reader-word-s5-10"/>
    <w:basedOn w:val="1"/>
    <w:qFormat/>
    <w:uiPriority w:val="0"/>
    <w:pPr>
      <w:widowControl/>
      <w:spacing w:beforeAutospacing="1" w:afterAutospacing="1"/>
      <w:jc w:val="left"/>
    </w:pPr>
    <w:rPr>
      <w:rFonts w:ascii="宋体" w:hAnsi="宋体" w:cs="宋体"/>
      <w:kern w:val="0"/>
      <w:sz w:val="24"/>
      <w:szCs w:val="24"/>
    </w:rPr>
  </w:style>
  <w:style w:type="character" w:customStyle="1" w:styleId="52">
    <w:name w:val="应急预案正文 Char Char"/>
    <w:basedOn w:val="28"/>
    <w:link w:val="53"/>
    <w:qFormat/>
    <w:locked/>
    <w:uiPriority w:val="99"/>
    <w:rPr>
      <w:rFonts w:hAnsi="宋体" w:eastAsia="宋体"/>
      <w:sz w:val="28"/>
      <w:szCs w:val="28"/>
    </w:rPr>
  </w:style>
  <w:style w:type="paragraph" w:customStyle="1" w:styleId="53">
    <w:name w:val="应急预案正文"/>
    <w:basedOn w:val="1"/>
    <w:link w:val="52"/>
    <w:qFormat/>
    <w:uiPriority w:val="99"/>
    <w:pPr>
      <w:spacing w:line="520" w:lineRule="exact"/>
      <w:ind w:firstLine="560" w:firstLineChars="200"/>
    </w:pPr>
    <w:rPr>
      <w:rFonts w:hAnsi="宋体"/>
      <w:kern w:val="0"/>
      <w:sz w:val="28"/>
      <w:szCs w:val="28"/>
    </w:rPr>
  </w:style>
  <w:style w:type="character" w:customStyle="1" w:styleId="54">
    <w:name w:val="text_edit editable-title"/>
    <w:basedOn w:val="28"/>
    <w:qFormat/>
    <w:uiPriority w:val="99"/>
  </w:style>
  <w:style w:type="character" w:customStyle="1" w:styleId="55">
    <w:name w:val="yqlink"/>
    <w:basedOn w:val="28"/>
    <w:qFormat/>
    <w:uiPriority w:val="99"/>
  </w:style>
  <w:style w:type="character" w:customStyle="1" w:styleId="56">
    <w:name w:val="headline-content2"/>
    <w:basedOn w:val="28"/>
    <w:qFormat/>
    <w:uiPriority w:val="99"/>
  </w:style>
  <w:style w:type="character" w:customStyle="1" w:styleId="57">
    <w:name w:val="Char Char3"/>
    <w:basedOn w:val="28"/>
    <w:qFormat/>
    <w:uiPriority w:val="99"/>
    <w:rPr>
      <w:rFonts w:ascii="Arial" w:hAnsi="Arial" w:eastAsia="黑体" w:cs="Arial"/>
      <w:b/>
      <w:bCs/>
      <w:kern w:val="2"/>
      <w:sz w:val="32"/>
      <w:szCs w:val="32"/>
      <w:lang w:val="en-US" w:eastAsia="zh-CN"/>
    </w:rPr>
  </w:style>
  <w:style w:type="character" w:customStyle="1" w:styleId="58">
    <w:name w:val="正文文本缩进 Char"/>
    <w:basedOn w:val="28"/>
    <w:link w:val="10"/>
    <w:qFormat/>
    <w:locked/>
    <w:uiPriority w:val="99"/>
    <w:rPr>
      <w:rFonts w:ascii="Times New Roman" w:hAnsi="Times New Roman" w:eastAsia="宋体" w:cs="Times New Roman"/>
      <w:kern w:val="2"/>
      <w:sz w:val="24"/>
      <w:szCs w:val="24"/>
    </w:rPr>
  </w:style>
  <w:style w:type="character" w:customStyle="1" w:styleId="59">
    <w:name w:val="正文文本 Char"/>
    <w:basedOn w:val="28"/>
    <w:link w:val="9"/>
    <w:semiHidden/>
    <w:qFormat/>
    <w:locked/>
    <w:uiPriority w:val="99"/>
    <w:rPr>
      <w:rFonts w:ascii="Calibri" w:hAnsi="Calibri" w:eastAsia="宋体" w:cs="Calibri"/>
      <w:kern w:val="2"/>
      <w:sz w:val="22"/>
      <w:szCs w:val="22"/>
    </w:rPr>
  </w:style>
  <w:style w:type="character" w:customStyle="1" w:styleId="60">
    <w:name w:val="正文首行缩进 Char"/>
    <w:basedOn w:val="59"/>
    <w:link w:val="26"/>
    <w:qFormat/>
    <w:locked/>
    <w:uiPriority w:val="99"/>
    <w:rPr>
      <w:rFonts w:ascii="Times New Roman" w:hAnsi="Times New Roman" w:cs="Times New Roman"/>
    </w:rPr>
  </w:style>
  <w:style w:type="character" w:customStyle="1" w:styleId="61">
    <w:name w:val="批注文字 Char"/>
    <w:basedOn w:val="28"/>
    <w:link w:val="8"/>
    <w:semiHidden/>
    <w:qFormat/>
    <w:locked/>
    <w:uiPriority w:val="99"/>
    <w:rPr>
      <w:rFonts w:ascii="Calibri" w:hAnsi="Calibri" w:eastAsia="宋体" w:cs="Calibri"/>
      <w:kern w:val="2"/>
      <w:sz w:val="22"/>
      <w:szCs w:val="22"/>
    </w:rPr>
  </w:style>
  <w:style w:type="character" w:customStyle="1" w:styleId="62">
    <w:name w:val="批注主题 Char"/>
    <w:basedOn w:val="61"/>
    <w:link w:val="25"/>
    <w:qFormat/>
    <w:locked/>
    <w:uiPriority w:val="99"/>
    <w:rPr>
      <w:rFonts w:ascii="Times New Roman" w:hAnsi="Times New Roman" w:cs="Times New Roman"/>
      <w:b/>
      <w:bCs/>
      <w:sz w:val="24"/>
      <w:szCs w:val="24"/>
    </w:rPr>
  </w:style>
  <w:style w:type="character" w:customStyle="1" w:styleId="63">
    <w:name w:val="日期 Char"/>
    <w:basedOn w:val="28"/>
    <w:link w:val="15"/>
    <w:qFormat/>
    <w:locked/>
    <w:uiPriority w:val="99"/>
    <w:rPr>
      <w:rFonts w:ascii="Times New Roman" w:hAnsi="Times New Roman" w:eastAsia="宋体" w:cs="Times New Roman"/>
      <w:kern w:val="2"/>
      <w:sz w:val="24"/>
      <w:szCs w:val="24"/>
    </w:rPr>
  </w:style>
  <w:style w:type="character" w:customStyle="1" w:styleId="64">
    <w:name w:val="文档结构图 Char"/>
    <w:basedOn w:val="28"/>
    <w:link w:val="7"/>
    <w:qFormat/>
    <w:locked/>
    <w:uiPriority w:val="99"/>
    <w:rPr>
      <w:rFonts w:ascii="Times New Roman" w:hAnsi="Times New Roman" w:eastAsia="宋体" w:cs="Times New Roman"/>
      <w:kern w:val="2"/>
      <w:sz w:val="24"/>
      <w:szCs w:val="24"/>
      <w:shd w:val="clear" w:color="auto" w:fill="000080"/>
    </w:rPr>
  </w:style>
  <w:style w:type="paragraph" w:customStyle="1" w:styleId="65">
    <w:name w:val="HTML Top of Form"/>
    <w:basedOn w:val="1"/>
    <w:next w:val="1"/>
    <w:link w:val="66"/>
    <w:qFormat/>
    <w:uiPriority w:val="99"/>
    <w:pPr>
      <w:widowControl/>
      <w:pBdr>
        <w:bottom w:val="single" w:color="auto" w:sz="6" w:space="1"/>
      </w:pBdr>
      <w:jc w:val="center"/>
    </w:pPr>
    <w:rPr>
      <w:rFonts w:ascii="Arial" w:hAnsi="Arial" w:cs="Arial"/>
      <w:vanish/>
      <w:kern w:val="0"/>
      <w:sz w:val="16"/>
      <w:szCs w:val="16"/>
    </w:rPr>
  </w:style>
  <w:style w:type="character" w:customStyle="1" w:styleId="66">
    <w:name w:val="z-窗体顶端 Char"/>
    <w:basedOn w:val="28"/>
    <w:link w:val="65"/>
    <w:qFormat/>
    <w:locked/>
    <w:uiPriority w:val="99"/>
    <w:rPr>
      <w:rFonts w:ascii="Arial" w:hAnsi="Arial" w:eastAsia="宋体" w:cs="Arial"/>
      <w:vanish/>
      <w:sz w:val="16"/>
      <w:szCs w:val="16"/>
    </w:rPr>
  </w:style>
  <w:style w:type="paragraph" w:customStyle="1" w:styleId="67">
    <w:name w:val="HTML Bottom of Form"/>
    <w:basedOn w:val="1"/>
    <w:next w:val="1"/>
    <w:link w:val="68"/>
    <w:qFormat/>
    <w:uiPriority w:val="99"/>
    <w:pPr>
      <w:widowControl/>
      <w:pBdr>
        <w:top w:val="single" w:color="auto" w:sz="6" w:space="1"/>
      </w:pBdr>
      <w:jc w:val="center"/>
    </w:pPr>
    <w:rPr>
      <w:rFonts w:ascii="Arial" w:hAnsi="Arial" w:cs="Arial"/>
      <w:vanish/>
      <w:kern w:val="0"/>
      <w:sz w:val="16"/>
      <w:szCs w:val="16"/>
    </w:rPr>
  </w:style>
  <w:style w:type="character" w:customStyle="1" w:styleId="68">
    <w:name w:val="z-窗体底端 Char"/>
    <w:basedOn w:val="28"/>
    <w:link w:val="67"/>
    <w:qFormat/>
    <w:locked/>
    <w:uiPriority w:val="99"/>
    <w:rPr>
      <w:rFonts w:ascii="Arial" w:hAnsi="Arial" w:eastAsia="宋体" w:cs="Arial"/>
      <w:vanish/>
      <w:sz w:val="16"/>
      <w:szCs w:val="16"/>
    </w:rPr>
  </w:style>
  <w:style w:type="paragraph" w:customStyle="1" w:styleId="69">
    <w:name w:val="style15"/>
    <w:basedOn w:val="1"/>
    <w:qFormat/>
    <w:uiPriority w:val="99"/>
    <w:pPr>
      <w:widowControl/>
      <w:spacing w:before="100" w:beforeAutospacing="1" w:after="100" w:afterAutospacing="1"/>
      <w:jc w:val="left"/>
    </w:pPr>
    <w:rPr>
      <w:rFonts w:ascii="宋体" w:hAnsi="宋体" w:cs="宋体"/>
      <w:color w:val="CC6601"/>
      <w:kern w:val="0"/>
    </w:rPr>
  </w:style>
  <w:style w:type="paragraph" w:customStyle="1" w:styleId="70">
    <w:name w:val="样式3"/>
    <w:basedOn w:val="5"/>
    <w:next w:val="1"/>
    <w:qFormat/>
    <w:uiPriority w:val="99"/>
    <w:pPr>
      <w:spacing w:after="0" w:line="520" w:lineRule="exact"/>
    </w:pPr>
    <w:rPr>
      <w:rFonts w:ascii="Times New Roman" w:hAnsi="Times New Roman" w:cs="Times New Roman"/>
      <w:b/>
      <w:bCs/>
      <w:sz w:val="30"/>
      <w:szCs w:val="30"/>
    </w:rPr>
  </w:style>
  <w:style w:type="paragraph" w:customStyle="1" w:styleId="71">
    <w:name w:val="样式2"/>
    <w:basedOn w:val="17"/>
    <w:qFormat/>
    <w:uiPriority w:val="99"/>
    <w:pPr>
      <w:ind w:right="360"/>
    </w:pPr>
    <w:rPr>
      <w:rFonts w:ascii="仿宋_GB2312" w:hAnsi="Times New Roman" w:eastAsia="仿宋_GB2312" w:cs="仿宋_GB2312"/>
      <w:sz w:val="21"/>
      <w:szCs w:val="21"/>
    </w:rPr>
  </w:style>
  <w:style w:type="paragraph" w:customStyle="1" w:styleId="72">
    <w:name w:val="无划线页眉"/>
    <w:basedOn w:val="18"/>
    <w:qFormat/>
    <w:uiPriority w:val="99"/>
    <w:pPr>
      <w:pBdr>
        <w:bottom w:val="none" w:color="auto" w:sz="0" w:space="0"/>
      </w:pBdr>
      <w:jc w:val="both"/>
    </w:pPr>
    <w:rPr>
      <w:rFonts w:ascii="仿宋_GB2312" w:hAnsi="Times New Roman" w:eastAsia="仿宋_GB2312" w:cs="仿宋_GB2312"/>
      <w:sz w:val="21"/>
      <w:szCs w:val="21"/>
    </w:rPr>
  </w:style>
  <w:style w:type="paragraph" w:customStyle="1" w:styleId="73">
    <w:name w:val="应急预案三级标题"/>
    <w:basedOn w:val="5"/>
    <w:qFormat/>
    <w:uiPriority w:val="99"/>
    <w:pPr>
      <w:ind w:firstLine="148" w:firstLineChars="49"/>
    </w:pPr>
    <w:rPr>
      <w:rFonts w:ascii="仿宋_GB2312" w:hAnsi="仿宋_GB2312" w:eastAsia="仿宋_GB2312" w:cs="仿宋_GB2312"/>
      <w:b/>
      <w:bCs/>
      <w:sz w:val="30"/>
      <w:szCs w:val="30"/>
    </w:rPr>
  </w:style>
  <w:style w:type="paragraph" w:customStyle="1" w:styleId="74">
    <w:name w:val="Char Char Char Char"/>
    <w:basedOn w:val="1"/>
    <w:qFormat/>
    <w:uiPriority w:val="99"/>
    <w:rPr>
      <w:rFonts w:ascii="Times New Roman" w:hAnsi="Times New Roman" w:cs="Times New Roman"/>
    </w:rPr>
  </w:style>
  <w:style w:type="paragraph" w:customStyle="1" w:styleId="75">
    <w:name w:val="无划线页脚"/>
    <w:basedOn w:val="17"/>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3631</Words>
  <Characters>20697</Characters>
  <Lines>172</Lines>
  <Paragraphs>48</Paragraphs>
  <TotalTime>1</TotalTime>
  <ScaleCrop>false</ScaleCrop>
  <LinksUpToDate>false</LinksUpToDate>
  <CharactersWithSpaces>24280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2015-12-24T03:11:00Z</cp:lastPrinted>
  <dcterms:modified xsi:type="dcterms:W3CDTF">2021-11-06T01:05:52Z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0F6C694D9E1A4E12B31BBFC2F37F1308</vt:lpwstr>
  </property>
</Properties>
</file>